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regarding runaway prevention for certain individuals who provide care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foster parent, prospective adoptive parent, and relative or other designated caregiver shall complete a training program developed by the department on runaway prevention measures and proper procedures in the event of a runaway event to support children and youth in the conservatorship of the department at high risk for running away from the child's substitute care provider.  This training program may be included as part of existing training courses already provided by the Department of Family and Protective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