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an account to create a program to pay off certain outstanding debts attributed to medical expenses;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403, Government Code, is amended by adding Section 403.1101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403.1101.</w:t>
      </w:r>
      <w:r>
        <w:rPr>
          <w:u w:val="single"/>
        </w:rPr>
        <w:t xml:space="preserve"> </w:t>
      </w:r>
      <w:r>
        <w:rPr>
          <w:u w:val="single"/>
        </w:rPr>
        <w:t xml:space="preserve"> </w:t>
      </w:r>
      <w:r>
        <w:rPr>
          <w:u w:val="single"/>
        </w:rPr>
        <w:t xml:space="preserve">MEDICAL DEBTS REPAYMENT ACCOUNT.  (a) </w:t>
      </w:r>
      <w:r>
        <w:rPr>
          <w:u w:val="single"/>
        </w:rPr>
        <w:t xml:space="preserve"> </w:t>
      </w:r>
      <w:r>
        <w:rPr>
          <w:u w:val="single"/>
        </w:rPr>
        <w:t xml:space="preserve">The comptroller shall establish an account to create a program to pay off for certain individuals who reside in this state outstanding debts attributed to medical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is eligible to have outstanding medical debts paid off only if the individual is a resident of this state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household income of 400 percent of the federal poverty level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debts attributed to medical expenses in a total amount that exceeds five percent of the individual's annual income.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the program, the comptroller shall work directly with hospitals, debt collection agencies, and others to purchase an individual's medical debts at a reduced price.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adopt rules necessary to establish the account and to create the program to pay off outstanding debts attributed to medical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amount of $100 million is appropriated from the general revenue fund to the comptroller of public accounts of the State of Texas for the state fiscal biennium beginning September 1, 2023, to provide the payments required by Section 1 of this Act and to pay costs incurred by the comptroller in facilitating the program established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