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88R13241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storing data received from a centrally counted optical scan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127.1301(b),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 operating a central counting station under this chapter may not purchase or use a centrally counted optical ballot scan system that </w:t>
      </w:r>
      <w:r>
        <w:rPr>
          <w:u w:val="single"/>
        </w:rPr>
        <w:t xml:space="preserve">stores data on</w:t>
      </w:r>
      <w:r>
        <w:t xml:space="preserve"> [</w:t>
      </w:r>
      <w:r>
        <w:rPr>
          <w:strike/>
        </w:rPr>
        <w:t xml:space="preserve">uses</w:t>
      </w:r>
      <w:r>
        <w:t xml:space="preserve">] a </w:t>
      </w:r>
      <w:r>
        <w:rPr>
          <w:u w:val="single"/>
        </w:rPr>
        <w:t xml:space="preserve">computer with a</w:t>
      </w:r>
      <w:r>
        <w:t xml:space="preserve"> data storage disc on which information, once written, is capable of being </w:t>
      </w:r>
      <w:r>
        <w:rPr>
          <w:u w:val="single"/>
        </w:rPr>
        <w:t xml:space="preserve">overwritten during a system upgrade</w:t>
      </w:r>
      <w:r>
        <w:t xml:space="preserve"> [</w:t>
      </w:r>
      <w:r>
        <w:rPr>
          <w:strike/>
        </w:rPr>
        <w:t xml:space="preserve">modified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127.1301(c), (d), and (e),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