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88R12720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retirees of the Teacher Retirement System of Texas who resume certain employment with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825.4092(e),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amounts required to be paid under Subsections (b) and (c) are not required to be paid by a reporting employer for a retiree who retired from the retirement system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 before September 1, 2005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or after September 1, 2005, if: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retiree's employment qualifies for an exception under Section 824.601(b-1) or 824.602(a)(3) to the loss of benefit payments described by Section 824.601(b);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reporting employer demonstrates to the Texas Education Agency that the employer cannot through reasonable efforts fill the position other than with a person working on a temporary basis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to a retiree of the Teacher Retirement System of Texas regardless of whether the person retired from employment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