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88R13722 MZM-F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4239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property owner liability for personal injury claims arising from insurance restoration projects in which a contractor or subcontractor does not maintain workers' compensation insurance coverage.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95, Civil Practice and Remedies Code, is amended by adding Section 95.005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95.005.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LIMITED LIABILITY FOR ELECTION NOT TO MAINTAIN WORKERS' COMPENSATION INSURANCE COVERAGE FOR CERTAIN PROJECTS. (a) In this section, "insurance restoration project" means work performed to repair a home, business, or other structure following a fire, a natural disaster, water damage, or mold damage and for which the work is or will be compensated by insurance.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95.003, a property owner is not liable for personal injury or death to a contractor, subcontractor, or employee of a contractor or subcontractor arising from work on an insurance restoration project if the contractor or subcontractor does not maintain workers' compensation insurance coverage under Chapter 406, Labor Code.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