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Jones of Harris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4244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halting construction, demolition, or development work after the discovery of human remains, grave, a grave marker for human remains.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214.212, Local Government Code, is amended to be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All construction, demolition, and other development work must stop when a human grave, human remains, or a grave marker is discovered.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authority to reinstate the allowance to continue the construction, demolition, and other development is: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of Public Safety if the human remains, grave, or grave marker are under six months of age.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Texas Historical Commission if the human remains, grave, or grave marker are over six months of age.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233.153, Local Government Code, is amended to be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All construction, demolition, and other development work must stop when a human grave, human remains, or a grave marker is discovered.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authority to reinstate the allowance to continue the construction, demolition, and other development is: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of Public Safety if the human remains, grave, or grave marker are under six months of age.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Texas Historical Commission if the human remains, grave, or grave marker are over six months of age.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Chapter 251, Subchapter A, Transportation Code is amended to be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All construction, demolition, and other development work must stop when a human grave, human remains, or a grave marker is discovered.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authority to reinstate the allowance to continue the construction, demolition, and other development is: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of Public Safety if the human remains, grave, or grave marker are under six months of age.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Texas Historical Commission if the human remains, grave, or grave marker are over six months of age.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4244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