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88R9006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Orr, Rogers, Slawson, Patterson, Ashby,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delivery of certain unclaimed money for scholarships for rural students, rural economic development, and energy efficiency assistance.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74.3013(f),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During a state fiscal year the total amount of money that may be transferred by all nonprofit cooperative   corporations under this section may not exceed </w:t>
      </w:r>
      <w:r>
        <w:rPr>
          <w:u w:val="single"/>
        </w:rPr>
        <w:t xml:space="preserve">50 percent of the total money reported for that year by those nonprofit cooperative corporations</w:t>
      </w:r>
      <w:r>
        <w:t xml:space="preserve"> [</w:t>
      </w:r>
      <w:r>
        <w:rPr>
          <w:strike/>
        </w:rPr>
        <w:t xml:space="preserve">$2 million</w:t>
      </w:r>
      <w:r>
        <w:t xml:space="preserve">].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 more than 20 percent of each nonprofit cooperative's funds eligible for delivery under this section shall be used for economic development.</w:t>
      </w:r>
      <w:r>
        <w:t xml:space="preserve">]</w:t>
      </w:r>
      <w:r xml:space="preserve">
        <w:t> </w:t>
      </w:r>
      <w:r xml:space="preserve">
        <w:t> </w:t>
      </w:r>
      <w:r>
        <w:t xml:space="preserve">The comptroller shall adopt procedures to record the total amount of money transferred annually.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