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4250</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right of the clerk of a court to deduct from the amount of the excess proceeds from an ad valorem tax sale of property the cost of postage for sending to the former owner of the property a notice of the owner's right to claim the proceeds.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34.03, Tax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clerk may deduct from the amount of the excess proceeds the cost of postage for sending to the former owner of the property a notice under Subsection (a)(1).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4250 was passed by the House on May 12, 2023, by the following vote:</w:t>
      </w:r>
      <w:r xml:space="preserve">
        <w:t> </w:t>
      </w:r>
      <w:r xml:space="preserve">
        <w:t> </w:t>
      </w:r>
      <w:r>
        <w:t xml:space="preserve">Yeas 124, Nays 11, 3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4250 was passed by the Senate on May 24, 2023, by the following vote:</w:t>
      </w:r>
      <w:r xml:space="preserve">
        <w:t> </w:t>
      </w:r>
      <w:r xml:space="preserve">
        <w:t> </w:t>
      </w:r>
      <w:r>
        <w:t xml:space="preserve">Yeas 29, Nays 2.</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