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4258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meetings of a county election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Election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Meetings of the county election board are subject to Chapter 551, Government Code.  In addition to posting notice as required by Chapter 551, Government Code, the board shall provide personal written notice of a board meeting to the county elections administrator in the time prescribed by Section 551.043, Government Code, for providing public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