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88R4397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4263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waiver under certain circumstances of the late-correction penalty if an appraisal roll is changed as a result of the filing of a motion with the appraisal review board to correct an error that resulted in an incorrect appraised value for an owner's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25.25, Tax Code, is amended by amending Subsection (d-1) and adding Subsection (d-2) to read as follows:</w:t>
      </w:r>
    </w:p>
    <w:p w:rsidR="003F3435" w:rsidRDefault="0032493E">
      <w:pPr>
        <w:spacing w:line="480" w:lineRule="auto"/>
        <w:ind w:firstLine="720"/>
        <w:jc w:val="both"/>
      </w:pPr>
      <w:r>
        <w:t xml:space="preserve">(d-1)</w:t>
      </w:r>
      <w:r xml:space="preserve">
        <w:t> </w:t>
      </w:r>
      <w:r xml:space="preserve">
        <w:t> </w:t>
      </w:r>
      <w:r>
        <w:t xml:space="preserve">If the appraisal roll is changed under Subsection (d), the property owner must pay to each affected taxing unit a late-correction penalty equal to 10 percent of the amount of taxes as calculated on the basis of the corrected appraised value.  Payment of the late-correction penalty is secured by the lien that attaches to the property under Section 32.01 and is subject to enforced collection under Chapter 33.  </w:t>
      </w:r>
      <w:r>
        <w:rPr>
          <w:u w:val="single"/>
        </w:rPr>
        <w:t xml:space="preserve">The penalty imposed under this subsection does not apply if the property that is the subject of the motion filed under Subsection (d) was under construction on January 1 and the error that resulted in an incorrect appraised value for the property was a result of the chief appraiser: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appraising the property as though construction was complete on that date;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inaccurately determining the percentage by which construction of the property was complete on that date.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An appraisal</w:t>
      </w:r>
      <w:r>
        <w:t xml:space="preserve"> [</w:t>
      </w:r>
      <w:r>
        <w:rPr>
          <w:strike/>
        </w:rPr>
        <w:t xml:space="preserve">The</w:t>
      </w:r>
      <w:r>
        <w:t xml:space="preserve">] roll may not be changed under Subsection (d) if:</w:t>
      </w:r>
    </w:p>
    <w:p w:rsidR="003F3435" w:rsidRDefault="0032493E">
      <w:pPr>
        <w:spacing w:line="480" w:lineRule="auto"/>
        <w:ind w:firstLine="1440"/>
        <w:jc w:val="both"/>
      </w:pPr>
      <w:r>
        <w:t xml:space="preserve">(1)</w:t>
      </w:r>
      <w:r xml:space="preserve">
        <w:t> </w:t>
      </w:r>
      <w:r xml:space="preserve">
        <w:t> </w:t>
      </w:r>
      <w:r>
        <w:t xml:space="preserve">the property was the subject of a protest brought by the property owner under Chapter 41, a hearing on the protest was conducted in which the property owner offered evidence or argument, and the appraisal review board made a determination of the protest on the merits; or</w:t>
      </w:r>
    </w:p>
    <w:p w:rsidR="003F3435" w:rsidRDefault="0032493E">
      <w:pPr>
        <w:spacing w:line="480" w:lineRule="auto"/>
        <w:ind w:firstLine="1440"/>
        <w:jc w:val="both"/>
      </w:pPr>
      <w:r>
        <w:t xml:space="preserve">(2)</w:t>
      </w:r>
      <w:r xml:space="preserve">
        <w:t> </w:t>
      </w:r>
      <w:r xml:space="preserve">
        <w:t> </w:t>
      </w:r>
      <w:r>
        <w:t xml:space="preserve">the appraised value of the property was established as a result of a written agreement between the property owner or the owner's agent and the appraisal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late-correction penalty that relates to a motion filed under Section 25.25(d), Tax Code, on or after the effective date of this Act.  A late-correction penalty that relates to a motion filed under Section 25.25(d), Tax Code, before the effective date of this Act is governed by the law in effect when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