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88R11664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Bexar, Garcia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the recidivism rate of defendants who complete a veterans treatment court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124, Government Code, is amended by adding Section 124.008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124.008.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RECIDIVISM STUDY.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"council" means the Texas Judicial Council.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council, in collaboration with the Texas Veterans Commission, shall conduct a study to evaluate the recidivism rate of defendants who successfully completed a veterans treatment court program in the preceding 10 years. </w:t>
      </w:r>
      <w:r>
        <w:rPr>
          <w:u w:val="single"/>
        </w:rPr>
        <w:t xml:space="preserve"> </w:t>
      </w:r>
      <w:r>
        <w:rPr>
          <w:u w:val="single"/>
        </w:rPr>
        <w:t xml:space="preserve">The report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recidivism rate, calculated by determining from available information the percentage of defendants who have, since completing the program: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been arrested for an offense alleged to have been committed after the defendant completed the program;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been convicted of an offense committed after the defendant completed the program;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had a term of community supervision revoked due to a technical violation or commission of another offense committed after the defendant completed the program;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had a term of parole or mandatory supervision revoked due to a technical violation or commission of another offense committed after the defendant completed the program;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apparent patterns in the recidivism rate for defendants based on the available information;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summary of any information the council determines is correlated with or otherwise relevant to the recidivism rate for defendants;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recommendations for: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further action to improve outcomes for defendants in the program;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program goals to reduce the recidivism rate of defendants.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council may collaborate with any state or federal agency, county, or court as necessary to obtain the information described by Subsection (b).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January 1, 2025, the council shall prepare and submit to the governor and the legislature a written report containing the results of the study and any recommendations for legislative or other 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