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88R11664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Bexar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the recidivism rate of defendants who complete a veterans treatment court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124, Government Code, is amended by adding Section 124.008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124.008.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RECIDIVISM STUDY.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"council" means the Texas Judicial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council, in collaboration with the Texas Veterans Commission, shall conduct a study to evaluate the recidivism rate of defendants who successfully completed a veterans treatment court program in the preceding 10 years. </w:t>
      </w:r>
      <w:r>
        <w:rPr>
          <w:u w:val="single"/>
        </w:rPr>
        <w:t xml:space="preserve"> </w:t>
      </w:r>
      <w:r>
        <w:rPr>
          <w:u w:val="single"/>
        </w:rPr>
        <w:t xml:space="preserve">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recidivism rate, calculated by determining from available information the percentage of defendants who have, since completing the program: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been arrested for an offense alleged to have been committed after the defendant completed the program;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been convicted of an offense committed after the defendant completed the program;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had a term of community supervision revoked due to a technical violation or commission of another offense committed after the defendant completed the program;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had a term of parole or mandatory supervision revoked due to a technical violation or commission of another offense committed after the defendant completed the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apparent patterns in the recidivism rate for defendants based on the available information;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of any information the council determines is correlated with or otherwise relevant to the recidivism rate for defendants;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recommendations for: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further action to improve outcomes for defendants in the program;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 goals to reduce the recidivism rate of defendants.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may collaborate with any state or federal agency, county, or court as necessary to obtain the information described by Subsection (b).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January 1, 2025, the council shall prepare and submit to the governor and the legislature a written report containing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