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enforceability of municipal prohibitions of outdoor signs in the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216.902, Local Government Code, is amended by adding Subsections (d) and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(e), a municipality that extends its outdoor sign ordinance within its extraterritorial jurisdiction may not enforce a prohibition on an outdoor sign in the extraterritorial jurisdiction: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the municipality adopts the ordinance before the sign is placed;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until the municipality annexes in accordance with Chapter 43 the property on which the sign is placed.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(d) does not apply to an area in a municipality's extraterritorial jurisdiction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within five miles of a military base;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located in the hill country viticultural area;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a population greater than 240,000;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includes the Blanco River.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