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88R8152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qualifications and term of the presiding officer of the Texas Funeral Service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651.057(a),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governor shall designate one member of the commission as the presiding officer of the commission to serve in that capacity </w:t>
      </w:r>
      <w:r>
        <w:rPr>
          <w:u w:val="single"/>
        </w:rPr>
        <w:t xml:space="preserve">at the pleasure of the governor</w:t>
      </w:r>
      <w:r>
        <w:t xml:space="preserve"> [</w:t>
      </w:r>
      <w:r>
        <w:rPr>
          <w:strike/>
        </w:rPr>
        <w:t xml:space="preserve">for three years. In designating presiding officers, the governor shall alternate between public and nonpublic members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