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88R11080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customer-sited distributed generation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off-system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a customer-sited distributed generation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investment in a customer-sited distributed generation facility that is interconnected to the utility's distribution system, the cost of the facility allocable to the utility's broader customer base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