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88R10743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4290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restrictions on political contributions by out-of-state contributors;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253, Election Code, is amended by adding Section 253.044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253.044.</w:t>
      </w:r>
      <w:r>
        <w:rPr>
          <w:u w:val="single"/>
        </w:rPr>
        <w:t xml:space="preserve"> </w:t>
      </w:r>
      <w:r>
        <w:rPr>
          <w:u w:val="single"/>
        </w:rPr>
        <w:t xml:space="preserve"> </w:t>
      </w:r>
      <w:r>
        <w:rPr>
          <w:u w:val="single"/>
        </w:rPr>
        <w:t xml:space="preserve">POLITICAL CONTRIBUTION LIMITS RELATED TO OUT-OF-STATE CONTRIBUTORS; CRIMINAL OFFENSE.  (a)  In this section, "out-of-state contributor"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with a principal address that is located outside this state who makes a political contribution;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political committee that, during the preceding reporting period under Chapter 254, accepted political contributions from persons described by Subdivision (1) in an amount equal to or greater than 50 percent of the overall contributions accepted by the committee during that reporting period;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out-of-state political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candidate, an officeholder, or a political committee for supporting or opposing a measure may not knowingly accept, for an election in which the candidate's or officeholder's name or the measure appears on the ballot,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political contribution from an out-of-state contributor in an amount that exceeds $1,000;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contributions from multiple out-of-state contributors that in the aggregate exceed $10,000.</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out-of-state contributor may not make: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political contribution to a candidate, an officeholder, or a political committee for supporting or opposing a measure, for an election in which the candidate's or officeholder's name or the measure appears on the ballot, as applicable, in an amount that exceeds $1,000;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contributions from multiple out-of-state contributors that in the aggregate exceed $10,000.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who accepts a political contribution in violation of Subsection (b) shall return the contribution to the out-of-state contributor not later than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last day of the reporting period under Chapter 254 during which the contribution was accepted;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fifth day after the date the contribution was accepted.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addition to returning the political contribution under Subsection (d), a person who accepts a political contribution in violation of Subsection (b)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person is a candidate or officeholder, remit an amount equal to the contribution to each opponent of the candidate or officeholder in the election for which the contribution was made or, if the candidate or officeholder was unopposed in the election or the election has been held, the county executive committee for each opposing political party of the county in which the candidate or officeholder resides;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is a political committee, remit an amount equal to the contribution to a political committee that holds the opposite position on the measure for which the contribution was made or, if there is no political committee that holds the opposite position or the election on the measure has been held, the county executive committee for each political party that held the opposite position on the measure of the county in which the political committee primarily operates.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required to remit a political contribution under Subsection (e) to a county executive committee shall remit the contribution not later than the 30th day after the date of the election for which the contribution was made.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out-of-state contributor who makes a political contribution in violation of Subsection (c) or a person who fails to return or remit a political contribution in violation of Subsection (d) or (e) commits an offense.  An offense under this subsection is a felony of the third degree.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To the extent of a conflict between this section and another law, this section controls.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shall adopt rules as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253.044, Election Code, as added by this Act, applies only to a political contribution made on or after the effective date of this Act.  A contribution made before the effective date of this Act is governed by the law in effect when the contribution was made and is not aggregated with contributions made on or after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