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88R13464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regulations adopted by governmental entities for the building products, materials, or methods used in the construction of residential or commercial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3000.002(a), (c),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law and except as provided by Subsection (d), a governmental entity may not adopt or enforce a rule, charter provision, ordinance, order, building code, or other regulation</w:t>
      </w:r>
      <w:r>
        <w:rPr>
          <w:u w:val="single"/>
        </w:rPr>
        <w:t xml:space="preserve">, require a landowner to record a restrictive covenant, or enter into an agreement</w:t>
      </w:r>
      <w:r>
        <w:t xml:space="preserve">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prohibits or limits, directly or indirectly, the use or installation of a building product or material in the construction, renovation, maintenance, or other alteration of a residential or commercial building if the building product or material is approved for use by a national model code published within the last three code cycles that applies to the construction, renovation, maintenance, or other alteration of the building;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establishes a standard for a building product, material, or aesthetic method</w:t>
      </w:r>
      <w:r>
        <w:rPr>
          <w:u w:val="single"/>
        </w:rPr>
        <w:t xml:space="preserve">, including any architectural or building design requirement,</w:t>
      </w:r>
      <w:r>
        <w:t xml:space="preserve"> in construction, renovation, maintenance, or other alteration of a residential or commercial building if the standard is more stringent than a standard for the product, material, or aesthetic method under a national model code published within the last three code cycles that applies to the construction, renovation, maintenance, or other alteration of the building.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program established by a state agency that requires particular standards, incentives, or financing arrangements in order to comply with requirements of a state or federal funding source or housing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requirement for a building necessary to consider the building eligible for windstorm and hail insurance coverage under Chapter 2210, Insurance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ordinance or other regulation that regulates outdoor lighting that is adopted for the purpose of reducing light pollution and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adopted by a governmental entity that is certified as a Dark Sky Community by the International Dark-Sky Association as part of the International Dark Sky Places Program;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adopted by a governmental entity that has adopted a resolution stating the entity's intent to become certified as a Dark Sky Community by the International Dark-Sky Association as part of the International Dark Sky Places Program and does not regulate outdoor lighting in a manner that is more restrictive than the prohibitions or limitations required to become certified as a Dark Sky Community;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applies to outdoor lighting within five miles of the boundary of a military base in which an active training program is conducted;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ordinance or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regulates outdoor lighting;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adopted under Subchapter B, Chapter 229, Local Government Code, or Subchapter B, Chapter 240, Local Government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rPr>
          <w:u w:val="single"/>
        </w:rPr>
        <w:t xml:space="preserve">an existing building or</w:t>
      </w:r>
      <w:r>
        <w:t xml:space="preserve"> a building located in </w:t>
      </w:r>
      <w:r>
        <w:rPr>
          <w:u w:val="single"/>
        </w:rPr>
        <w:t xml:space="preserve">an existing development</w:t>
      </w:r>
      <w:r>
        <w:t xml:space="preserve"> [</w:t>
      </w:r>
      <w:r>
        <w:rPr>
          <w:strike/>
        </w:rPr>
        <w:t xml:space="preserve">a place or area</w:t>
      </w:r>
      <w:r>
        <w:t xml:space="preserve">] designated for its historical, cultural, or architectural importance and significance that a municipality may regulate under Section 211.003(b), Local Government Code, if the municipality: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 certified local government under the National Historic Preservation Act (54 U.S.C. Section 300101 et seq.);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an applicable landmark ordinance that meets the requirements under the certified local government program as determined by the Texas Historical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building located in a place or area designated for its historical, cultural, or architectural importance and significance by a governmental entity, if designated before April 1, 2019;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building located in an area designated as a historic district on the National Register of Historic Places;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building designated as a Recorded Texas Historic Landmark;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building designated as a State Archeological Landmark or State Antiquities Landmark;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building listed on the National Register of Historic Places or designated as a landmark by a governmental entity;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building located in a World Heritage Buffer Zone;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building located in an area designated for development, restoration, or preservation in a main street city under the main street program established under Section 442.014;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standard for a plumbing product required by an ordinance or other regulation implementing a water conservation plan or program described by Section 11.1271 or 13.146,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standard for a plumbing product imposed by the Texas Water Development Board as a condition of applying for or receiving financial assistance under a program administered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municipality that is not a municipality described by Subsection (c)(5)(A) or (B) may adopt or enforce a regulation described by Subsection (a) that applies to </w:t>
      </w:r>
      <w:r>
        <w:rPr>
          <w:u w:val="single"/>
        </w:rPr>
        <w:t xml:space="preserve">an existing building or</w:t>
      </w:r>
      <w:r>
        <w:t xml:space="preserve"> a building located in </w:t>
      </w:r>
      <w:r>
        <w:rPr>
          <w:u w:val="single"/>
        </w:rPr>
        <w:t xml:space="preserve">an existing development</w:t>
      </w:r>
      <w:r>
        <w:t xml:space="preserve"> [</w:t>
      </w:r>
      <w:r>
        <w:rPr>
          <w:strike/>
        </w:rPr>
        <w:t xml:space="preserve">a place or area</w:t>
      </w:r>
      <w:r>
        <w:t xml:space="preserve">] designated on or after April 1, 2019, by the municipality for its historical, cultural, or architectural importance and significance, if the municipality has the voluntary </w:t>
      </w:r>
      <w:r>
        <w:rPr>
          <w:u w:val="single"/>
        </w:rPr>
        <w:t xml:space="preserve">written</w:t>
      </w:r>
      <w:r>
        <w:t xml:space="preserve"> consent from the building owner.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3000.003(c),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attorney general </w:t>
      </w:r>
      <w:r>
        <w:rPr>
          <w:u w:val="single"/>
        </w:rPr>
        <w:t xml:space="preserve">or aggrieved party</w:t>
      </w:r>
      <w:r>
        <w:t xml:space="preserve"> may recover reasonable attorney's fees and costs incurred in bringing an action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