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88R10354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4300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expedited credentialing of certain physician assistants and nurse practitioners by managed care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1452, Insurance Code, is amended by adding Subchapter F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EXPEDITED CREDENTIALING PROCESS FOR CERTAIN PHYSICIAN ASSISTANTS AND NURSE PRACTITIONERS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"Applicant" means a physician assistant or nurse practitioner applying for expedited credentialing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"Enrollee" means an individual who is eligible to receive health care services under a managed care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who is licensed, certified, or otherwise authorized to provide health care services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emergency clinic, outpatient clinic, or other facility providing health care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"Managed care plan" means a health benefit plan under which health care services are provided to enrollees through contracts with health care providers and that requires enrollees to use participating providers or that provides a different level of coverage for enrollees who use participating providers. </w:t>
      </w:r>
      <w:r>
        <w:rPr>
          <w:u w:val="single"/>
        </w:rPr>
        <w:t xml:space="preserve"> </w:t>
      </w:r>
      <w:r>
        <w:rPr>
          <w:u w:val="single"/>
        </w:rPr>
        <w:t xml:space="preserve">The term includes a health benefit plan issued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health maintenance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benefit plan issuer;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entity that issues a health benefit plan, including an insurance company.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"Medical group"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 legal entity owned by two or more physicians;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association composed of licensed physicians;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business entity composed of licensed physicians as permitted under Subchapter B, Chapter 162, Occupations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two or more physicians on the medical staff of, or teaching at, a medical school, as defined by Section 61.501, Education Code, or medical and dental unit, as defined by Section 61.003, Education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"Participating provider" means a health care provider who has contracted with a health benefit plan issuer to provide services to enrollees.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1452.252.</w:t>
      </w:r>
      <w:r>
        <w:rPr>
          <w:u w:val="single"/>
        </w:rPr>
        <w:t xml:space="preserve"> </w:t>
      </w:r>
      <w:r>
        <w:rPr>
          <w:u w:val="single"/>
        </w:rPr>
        <w:t xml:space="preserve"> </w:t>
      </w:r>
      <w:r>
        <w:rPr>
          <w:u w:val="single"/>
        </w:rPr>
        <w:t xml:space="preserve">APPLICABILITY.  This subchapter applies only to a physician assistant or nurse practitioner who joins an established medical group that has a contract with a managed care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1452.253.</w:t>
      </w:r>
      <w:r>
        <w:rPr>
          <w:u w:val="single"/>
        </w:rPr>
        <w:t xml:space="preserve"> </w:t>
      </w:r>
      <w:r>
        <w:rPr>
          <w:u w:val="single"/>
        </w:rPr>
        <w:t xml:space="preserve"> </w:t>
      </w:r>
      <w:r>
        <w:rPr>
          <w:u w:val="single"/>
        </w:rPr>
        <w:t xml:space="preserve">ELIGIBILITY REQUIREMENTS.  To qualify for expedited credentialing under this subchapter and payment under Section 1452.254, a physician assistant or nurse practitioner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in this state by, and in good standing with, the Texas Physician Assistant Board or Texas Nursing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all documentation and other information required by the managed care plan issuer to begin the credentialing process required for the issuer to include the physician assistant or nurse practitioner in the plan's network;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agree to comply with the terms of the managed care plan's participating provider contract with the physician assistant's or nurse practitioner's established medical group.</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1452.254.</w:t>
      </w:r>
      <w:r>
        <w:rPr>
          <w:u w:val="single"/>
        </w:rPr>
        <w:t xml:space="preserve"> </w:t>
      </w:r>
      <w:r>
        <w:rPr>
          <w:u w:val="single"/>
        </w:rPr>
        <w:t xml:space="preserve"> </w:t>
      </w:r>
      <w:r>
        <w:rPr>
          <w:u w:val="single"/>
        </w:rPr>
        <w:t xml:space="preserve">PAYMENT OF PHYSICIAN ASSISTANT OR NURSE PRACTITIONER DURING CREDENTIALING PROCESS.  After an applicant has submitted the information required by the managed care plan issuer under Section 1452.253, the issuer shall, for payment purposes only, treat the applicant as if the applicant is a participating provider in the plan's network when the applicant provides services to the plan's enrollees,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authorizing the applicant to collect copayments from the enrollees;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making payments to the applicant.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1452.255.</w:t>
      </w:r>
      <w:r>
        <w:rPr>
          <w:u w:val="single"/>
        </w:rPr>
        <w:t xml:space="preserve"> </w:t>
      </w:r>
      <w:r>
        <w:rPr>
          <w:u w:val="single"/>
        </w:rPr>
        <w:t xml:space="preserve"> </w:t>
      </w:r>
      <w:r>
        <w:rPr>
          <w:u w:val="single"/>
        </w:rPr>
        <w:t xml:space="preserve">DIRECTORY ENTRIES.  Pending the approval of an application submitted under Section 1452.253, the managed care plan issuer may exclude the applicant from the plan's directory, Internet website listing, or other listing of participating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1452.256.</w:t>
      </w:r>
      <w:r>
        <w:rPr>
          <w:u w:val="single"/>
        </w:rPr>
        <w:t xml:space="preserve"> </w:t>
      </w:r>
      <w:r>
        <w:rPr>
          <w:u w:val="single"/>
        </w:rPr>
        <w:t xml:space="preserve"> </w:t>
      </w:r>
      <w:r>
        <w:rPr>
          <w:u w:val="single"/>
        </w:rPr>
        <w:t xml:space="preserve">EFFECT OF FAILURE TO MEET CREDENTIALING REQUIREMENTS.  If, on completion of the credentialing process, the managed care plan issuer determines that the applicant does not meet the issuer's credentialing requirements: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issuer may recover from the applicant or the applicant's medical group an amount equal to the difference between payments for in-network benefits and out-of-network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or the applicant's medical group may retain any copayments collected or in the process of being collected as of the date of the issuer's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1452.257.</w:t>
      </w:r>
      <w:r>
        <w:rPr>
          <w:u w:val="single"/>
        </w:rPr>
        <w:t xml:space="preserve"> </w:t>
      </w:r>
      <w:r>
        <w:rPr>
          <w:u w:val="single"/>
        </w:rPr>
        <w:t xml:space="preserve"> </w:t>
      </w:r>
      <w:r>
        <w:rPr>
          <w:u w:val="single"/>
        </w:rPr>
        <w:t xml:space="preserve">ENROLLEE HELD HARMLESS.  An enrollee is not responsible and shall be held harmless for the difference between in-network copayments paid by the enrollee to a physician assistant or nurse practitioner who is determined to be ineligible under Section 1452.256 and the enrollee's managed care plan's charges for out-of-network services. </w:t>
      </w:r>
      <w:r>
        <w:rPr>
          <w:u w:val="single"/>
        </w:rPr>
        <w:t xml:space="preserve"> </w:t>
      </w:r>
      <w:r>
        <w:rPr>
          <w:u w:val="single"/>
        </w:rPr>
        <w:t xml:space="preserve">The physician assistant or nurse practitioner and the physician assistant's or nurse practitioner's medical group may not charge the enrollee for any portion of the physician assistant's or nurse practitioner's fee that is not paid or reimbursed by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1452.258.</w:t>
      </w:r>
      <w:r>
        <w:rPr>
          <w:u w:val="single"/>
        </w:rPr>
        <w:t xml:space="preserve"> </w:t>
      </w:r>
      <w:r>
        <w:rPr>
          <w:u w:val="single"/>
        </w:rPr>
        <w:t xml:space="preserve"> </w:t>
      </w:r>
      <w:r>
        <w:rPr>
          <w:u w:val="single"/>
        </w:rPr>
        <w:t xml:space="preserve">LIMITATION ON MANAGED CARE ISSUER LIABILITY.  A managed care plan issuer that complies with this subchapter is not subject to liability for damages arising out of or in connection with, directly or indirectly, the payment by the issuer of a physician assistant or nurse practitioner treated as if the physician assistant or nurse practitioner is a participating provider in the plan's network.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