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88R13469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contents of the annual child fatality report published by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261.204(b),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report published under Subsection (a)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accurately represent all abuse-related and neglect-related child fatalities in this state, including child fatalities investigated under Subchapter F, Chapter 264, and other child fatalities investigated by the department;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aggregate the fatalities by investigative findings and case disposition, including the following dispositions: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abuse and neglect ruled out;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unable to determine cause of death;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reason to believe abuse or neglect occurred;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reason to believe abuse or neglect contributed to child's death;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unable to complete review;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administrative closure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aggregate the fatalities by cause of death, if determinable,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accidental drowning or submersion;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assault by drowning or submersion;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discharge of a firearm;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drug overdose;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assault by other physical means, including strangulation or suffocation;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accidental suffocation;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exposure to smoke, fire, or flames;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malnutrition;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deprivation of medical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motor vehicle accident;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heatstroke caused by being left in a motor vehicle;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sudden infant death syndrome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