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deadlines and time of inception for mechanic's and materialman's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53.003(e), Property Code, is amended to read as follows:</w:t>
      </w:r>
    </w:p>
    <w:p w:rsidR="003F3435" w:rsidRDefault="0032493E">
      <w:pPr>
        <w:spacing w:line="480" w:lineRule="auto"/>
        <w:ind w:firstLine="720"/>
        <w:jc w:val="both"/>
      </w:pPr>
      <w:r>
        <w:t xml:space="preserve">(e)</w:t>
      </w:r>
      <w:r xml:space="preserve">
        <w:t> </w:t>
      </w:r>
      <w:r xml:space="preserve">
        <w:t> </w:t>
      </w:r>
      <w:r>
        <w:t xml:space="preserve">In </w:t>
      </w:r>
      <w:r>
        <w:rPr>
          <w:u w:val="single"/>
        </w:rPr>
        <w:t xml:space="preserve">determining the deadline or</w:t>
      </w:r>
      <w:r>
        <w:t xml:space="preserve"> computing the period of days in which to provide a notice or to take any action required under this chapter, if </w:t>
      </w:r>
      <w:r>
        <w:rPr>
          <w:u w:val="single"/>
        </w:rPr>
        <w:t xml:space="preserve">the deadline or</w:t>
      </w:r>
      <w:r>
        <w:t xml:space="preserve"> the last day of the period is a Saturday, Sunday, or legal holiday, the period is extended to include the next day that is not a Saturday, Sunday, or legal holiday.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53.124(e), Property Code, is amended to read as follows:</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is the date of recording of an affidavit of lien under Section 53.052.  The priority of a lien claimed by a person entitled to a lien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with respect to other mechanic's liens is determined by the date of recording.  A lien created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rPr>
          <w:strike/>
        </w:rPr>
        <w:t xml:space="preserve">)</w:t>
      </w:r>
      <w:r>
        <w:t xml:space="preserve">] is not valid or enforceable against a grantee or purchaser who acquires an interest in the real property before the time of inception of the lien.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