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88R13799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4312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exemption from sales and use taxes for certain snack items.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151.314(h), Tax Code, is amended to read as follows:</w:t>
      </w:r>
    </w:p>
    <w:p w:rsidR="003F3435" w:rsidRDefault="0032493E">
      <w:pPr>
        <w:spacing w:line="480" w:lineRule="auto"/>
        <w:ind w:firstLine="720"/>
        <w:jc w:val="both"/>
      </w:pPr>
      <w:r>
        <w:t xml:space="preserve">(h)</w:t>
      </w:r>
      <w:r xml:space="preserve">
        <w:t> </w:t>
      </w:r>
      <w:r xml:space="preserve">
        <w:t> </w:t>
      </w:r>
      <w:r>
        <w:rPr>
          <w:u w:val="single"/>
        </w:rPr>
        <w:t xml:space="preserve">Notwithstanding Subsection (c-2)(1) or (f), the</w:t>
      </w:r>
      <w:r>
        <w:t xml:space="preserve"> [</w:t>
      </w:r>
      <w:r>
        <w:rPr>
          <w:strike/>
        </w:rPr>
        <w:t xml:space="preserve">The</w:t>
      </w:r>
      <w:r>
        <w:t xml:space="preserve">] exemption provided by Subsection (a) </w:t>
      </w:r>
      <w:r>
        <w:rPr>
          <w:u w:val="single"/>
        </w:rPr>
        <w:t xml:space="preserve">applies</w:t>
      </w:r>
      <w:r>
        <w:t xml:space="preserve"> [</w:t>
      </w:r>
      <w:r>
        <w:rPr>
          <w:strike/>
        </w:rPr>
        <w:t xml:space="preserve">does not apply</w:t>
      </w:r>
      <w:r>
        <w:t xml:space="preserve">] to a snack item </w:t>
      </w:r>
      <w:r>
        <w:rPr>
          <w:u w:val="single"/>
        </w:rPr>
        <w:t xml:space="preserve">that</w:t>
      </w:r>
      <w:r>
        <w:t xml:space="preserve"> [</w:t>
      </w:r>
      <w:r>
        <w:rPr>
          <w:strike/>
        </w:rPr>
        <w:t xml:space="preserve">if the item</w:t>
      </w:r>
      <w:r>
        <w:t xml:space="preserve">] is sold through a vending machine [</w:t>
      </w:r>
      <w:r>
        <w:rPr>
          <w:strike/>
        </w:rPr>
        <w:t xml:space="preserve">or is sold in individual-sized portions.  For purposes of this subsection, an individual-sized portion is a portion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labeled as having not more than one serving;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contains less than 2.5 ounces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