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4316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regulation of residential service contract providers, sellers, and administrators.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1304, Occupations Code, is amended by adding Section 1304.0051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1304.0051.</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The following information submitted to or maintained by the department under this chapter that pertains to an applicant for registration or a seller, provider, or administrator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condition of the  applicant, seller, provider, or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identity or number of service contract holders;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documents that are claimed, in a manner determined by the department, proprietary or confidential for competitive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withhold the information described by Subsection (a)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1304.151(b),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w:t>
      </w:r>
      <w:r>
        <w:rPr>
          <w:u w:val="single"/>
        </w:rPr>
        <w:t xml:space="preserve">computed by subtracting the amount of any claims paid from the product of</w:t>
      </w:r>
      <w:r>
        <w:t xml:space="preserve"> </w:t>
      </w:r>
      <w:r>
        <w:t xml:space="preserve">[</w:t>
      </w:r>
      <w:r>
        <w:rPr>
          <w:strike/>
        </w:rPr>
        <w:t xml:space="preserve">equal to</w:t>
      </w:r>
      <w:r>
        <w:t xml:space="preserve">] 40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The executive director may review and examine the reserve account. </w:t>
      </w:r>
      <w:r>
        <w:t xml:space="preserve"> </w:t>
      </w:r>
      <w:r>
        <w:t xml:space="preserve">Except as provided by Subsections (b-1) and (b-4), the amount of the security deposit may not be less than $250,000. </w:t>
      </w:r>
      <w:r>
        <w:t xml:space="preserve">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 </w:t>
      </w:r>
      <w:r>
        <w:t xml:space="preserve"> </w:t>
      </w:r>
      <w:r>
        <w:t xml:space="preserve">The commission by rule may require the provider to submit additional financial reports.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1304.157(c),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Section 1304.151(a)(1), a provider of a residential service contract may use a reimbursement insurance policy issued by a captive insurance company as defined by Section 964.001, Insurance Code, to insure the provider's residential service contracts if the provider maintains a funded reserve equal to not less than </w:t>
      </w:r>
      <w:r>
        <w:rPr>
          <w:u w:val="single"/>
        </w:rPr>
        <w:t xml:space="preserve">an amount computed by subtracting the amount of any claims paid from the product of</w:t>
      </w:r>
      <w:r>
        <w:t xml:space="preserve"> 25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the provider's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1304.1025 and 1304.151(a)(1) for purposes of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4.13(b), Chapter 663 (H.B. 1560), Acts of the 87th Legislature, Regular Session, 2021, a license issued by the Texas Real Estate Commission under former Chapter 1303, Occupations Code, before September 1, 2021, is continued in effect until January 1, 2024, as a provider or administrator registration issued by the Texas Department of Licensing and Regulation under Chapter 1304,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Any information designated as confidential for competitive purposes under former Chapter 1303, Occupations Code,  by an applicant, seller, provider, or administrator before the effective date of this Act is confidential and not subject to disclosure under Chapter 552, Government Code. </w:t>
      </w:r>
      <w:r>
        <w:t xml:space="preserve"> </w:t>
      </w:r>
      <w:r>
        <w:t xml:space="preserve">The Texas Department of Licensing and Regulation may withhold the information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4316 was passed by the House on May 6, 2023, by the following vote:</w:t>
      </w:r>
      <w:r xml:space="preserve">
        <w:t> </w:t>
      </w:r>
      <w:r xml:space="preserve">
        <w:t> </w:t>
      </w:r>
      <w:r>
        <w:t xml:space="preserve">Yeas 132,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4316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