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88R21342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4318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crime victim notification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FOR CRIME VICTIM NOTIFICATION SYSTEMS.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"Victim" means a person who has suffered personal injury or death as a result of the criminal conduct of another.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for purposes of purchasing or developing a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evaluating grant applications and awarding grants;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related to grant amounts;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this section and ensuring compliance with any conditions of the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crime victim notification system for which a law enforcement agency seeks a grant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automatically, and without the requirement to download a software application to opt in to notifications, notify a victim or relative of a deceased victim by e-mail or text message of all of the following regarding a victim's case: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on which the incident report is created;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names of investigators who are assigned to the case;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arrest is made;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alleging probable cause is presented to the attorney representing the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arraigned under Chapter 26,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case has been dismissed by the attorney representing the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relevant to the case;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interface with the law enforcement agency's system of records;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configurable triggers to directly send messages;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capability: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attach informational brochures or other electronic attachments to the messages;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person to check the case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transmit notifications in English or Spanish;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respond to questions via artificial intelligence;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monitor the number and types of messages sent and enable a user to visualize that data;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survey tool so the law enforcement agency can solicit feedback on victims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in the crime victim notification system is confidential and not subject to disclosure under Chapter 552.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revenue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condition of receiving a grant under this section, a law enforcement agency shall annually report to the criminal justice division the number and types of notifications sent using the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year, the criminal justice division shall compile the information described by Subsection (g) into a written report provided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4318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