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Harris of Williamson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4321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public acknowledgment of donations made to the Texas Department of Transportation.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201.206,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201.206.</w:t>
      </w:r>
      <w:r xml:space="preserve">
        <w:t> </w:t>
      </w:r>
      <w:r xml:space="preserve">
        <w:t> </w:t>
      </w:r>
      <w:r>
        <w:t xml:space="preserve">DONATIONS AND CONTRIBUTIONS.  </w:t>
      </w:r>
      <w:r>
        <w:rPr>
          <w:u w:val="single"/>
        </w:rPr>
        <w:t xml:space="preserve">(a)</w:t>
      </w:r>
      <w:r>
        <w:t xml:space="preserve">  For the purpose of carrying out its functions and duties, the department may accept, from any source, a donation or contribution in any form, including realty, personalty, money, materials, or services.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may enter into an agreement with a donor to publicly acknowledge donations made to the department. The public acknowledgment may not contain comparative or qualitative descriptions of the donor's products, services, facilities, or companies.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person makes a donation to the department's roadside assistance and safety service patrol program, the department may post an acknowledgment of the donation on a vehicle or equipment the department uses for the program.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may adopt rules for the acknowledgment of donations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4321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