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88R12601 JCG-D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Bell of Montgomery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4324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purchase of service credit in the Employees Retirement System of Texas by members of the Texas military forces.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813, Government Code, is amended by adding Section 813.300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813.300.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subchapter, "state active duty," "state training and other duty," and "Texas military forces" have the meanings assigned by Section 437.001.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813.301(a),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Military service creditable in the retirement system is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active federal duty as a member of the armed forces of the United States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 active duty or state training and other duty, as a member of the Texas military forces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813.304(b),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retirement system shall use military service credit in computing service retirement or nonoccupational disability retirement benefits of a member of the employee class</w:t>
      </w:r>
      <w:r>
        <w:rPr>
          <w:u w:val="single"/>
        </w:rPr>
        <w:t xml:space="preserve">, regardless of the amount of service credit the member has in that class</w:t>
      </w:r>
      <w:r>
        <w:t xml:space="preserve"> [</w:t>
      </w:r>
      <w:r>
        <w:rPr>
          <w:strike/>
        </w:rPr>
        <w:t xml:space="preserve">only if the member has, without military service credit, at least five years of service credit in that class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4324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