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Sparks)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donors of certain unused prescription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442.001(1),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"Donor" means an individual</w:t>
      </w:r>
      <w:r>
        <w:rPr>
          <w:u w:val="single"/>
        </w:rPr>
        <w:t xml:space="preserve">, a prescription drug manufacturer, or a health care facility, including a pharmacy, that</w:t>
      </w:r>
      <w:r>
        <w:t xml:space="preserve"> [</w:t>
      </w:r>
      <w:r>
        <w:rPr>
          <w:strike/>
        </w:rPr>
        <w:t xml:space="preserve">who</w:t>
      </w:r>
      <w:r>
        <w:t xml:space="preserve">] donates unused prescription drugs under this chapter to a participating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442.056,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442.056.</w:t>
      </w:r>
      <w:r xml:space="preserve">
        <w:t> </w:t>
      </w:r>
      <w:r xml:space="preserve">
        <w:t> </w:t>
      </w:r>
      <w:r>
        <w:t xml:space="preserve">RECIPIENT FORM.</w:t>
      </w:r>
      <w:r xml:space="preserve">
        <w:t> </w:t>
      </w:r>
      <w:r xml:space="preserve">
        <w:t> </w:t>
      </w:r>
      <w:r>
        <w:t xml:space="preserve">Before accepting a donated prescription drug under this chapter, a recipient shall sign a form prescribed by the department stating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recipient acknowledges that </w:t>
      </w:r>
      <w:r>
        <w:rPr>
          <w:u w:val="single"/>
        </w:rPr>
        <w:t xml:space="preserve">if</w:t>
      </w:r>
      <w:r>
        <w:t xml:space="preserve"> the donor is </w:t>
      </w:r>
      <w:r>
        <w:rPr>
          <w:u w:val="single"/>
        </w:rPr>
        <w:t xml:space="preserve">an individual, prescription drug manufacturer, or health care facility other than a pharmacy, the donor is</w:t>
      </w:r>
      <w:r>
        <w:t xml:space="preserve"> not a pharmacist and the donor took ordinary care of the prescription drug;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recipient acknowledges that the donor is known to the participating provider and that there is no reason to believe that the prescription drug was improperly handled or stored;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by accepting the prescription drug, the recipient accepts any risk that an accidental mishandling could create;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recipient releases the donor, participating provider, and manufacturer of the drug from liability related to the prescription drug.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