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 Gervin-Hawkins, Martinez Fischer,</w:t>
      </w:r>
      <w:r xml:space="preserve">
        <w:tab wTab="150" tlc="none" cTlc="0"/>
      </w:r>
      <w:r>
        <w:t xml:space="preserve">H.B.</w:t>
      </w:r>
      <w:r xml:space="preserve">
        <w:t> </w:t>
      </w:r>
      <w:r>
        <w:t xml:space="preserve">No.</w:t>
      </w:r>
      <w:r xml:space="preserve">
        <w:t> </w:t>
      </w:r>
      <w:r>
        <w:t xml:space="preserve">4333</w:t>
      </w:r>
    </w:p>
    <w:p w:rsidR="003F3435" w:rsidRDefault="0032493E">
      <w:pPr>
        <w:jc w:val="both"/>
      </w:pPr>
      <w:r xml:space="preserve">
        <w:t> </w:t>
      </w:r>
      <w:r xml:space="preserve">
        <w:t> </w:t>
      </w:r>
      <w:r xml:space="preserve">
        <w:t> </w:t>
      </w:r>
      <w:r xml:space="preserve">
        <w:t> </w:t>
      </w:r>
      <w:r xml:space="preserve">
        <w:t> </w:t>
      </w:r>
      <w:r>
        <w:t xml:space="preserve">Lujan, Allison,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extension of a family violence pretrial diversion pilot program in Bexar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509.018(e),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expires September 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