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license or permit issued by other jurisdictions.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522.015,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522.015.</w:t>
      </w:r>
      <w:r xml:space="preserve">
        <w:t> </w:t>
      </w:r>
      <w:r xml:space="preserve">
        <w:t> </w:t>
      </w:r>
      <w:r>
        <w:t xml:space="preserve">LICENSE OR PERMIT ISSUED BY OTHER JURISDICTION.  A person may drive a commercial motor vehicle in this state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person has a commercial driver's license or a commercial learner's permit issued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another state in accordance with the minimum federal standards for the issuance of a commercial motor vehicle driver's license;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foreign jurisdiction the testing and licensing standards of which the United States Department of Transportation has determined meet the requirements of the federal act </w:t>
      </w:r>
      <w:r>
        <w:rPr>
          <w:u w:val="single"/>
        </w:rPr>
        <w:t xml:space="preserve">and must be in possession of current temporary federal work authorization in order to be considered valid outside of the  State's counties located on the southern border;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person's license or permit is appropriate for the class of vehicle being driven;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person is not disqualified from driving a commercial motor vehicle and is not subject to an out-of-service 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person has not had a domicile in this state for more than 30 days;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if the person has a permit, the person also has a driver's license issued by the same jurisdiction that issued the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