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88R14250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 Allen, Cunningham, Hefner,</w:t>
      </w:r>
      <w:r xml:space="preserve">
        <w:tab wTab="150" tlc="none" cTlc="0"/>
      </w:r>
      <w:r>
        <w:t xml:space="preserve">H.B.</w:t>
      </w:r>
      <w:r xml:space="preserve">
        <w:t> </w:t>
      </w:r>
      <w:r>
        <w:t xml:space="preserve">No.</w:t>
      </w:r>
      <w:r xml:space="preserve">
        <w:t> </w:t>
      </w:r>
      <w:r>
        <w:t xml:space="preserve">4342</w:t>
      </w:r>
    </w:p>
    <w:p w:rsidR="003F3435" w:rsidRDefault="0032493E">
      <w:pPr>
        <w:jc w:val="both"/>
      </w:pPr>
      <w:r xml:space="preserve">
        <w:t> </w:t>
      </w:r>
      <w:r xml:space="preserve">
        <w:t> </w:t>
      </w:r>
      <w:r xml:space="preserve">
        <w:t> </w:t>
      </w:r>
      <w:r xml:space="preserve">
        <w:t> </w:t>
      </w:r>
      <w:r xml:space="preserve">
        <w:t> </w:t>
      </w:r>
      <w:r>
        <w:t xml:space="preserve">King of Hemphill,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finance literacy and economics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w:t>
      </w:r>
      <w:r>
        <w:rPr>
          <w:u w:val="single"/>
        </w:rPr>
        <w:t xml:space="preserve">to include</w:t>
      </w:r>
      <w:r>
        <w:t xml:space="preserve"> [</w:t>
      </w:r>
      <w:r>
        <w:rPr>
          <w:strike/>
        </w:rPr>
        <w:t xml:space="preserve">or</w:t>
      </w:r>
      <w:r>
        <w:t xml:space="preserve">]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