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88R14250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finance literacy and economics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w:t>
      </w:r>
      <w:r>
        <w:rPr>
          <w:u w:val="single"/>
        </w:rPr>
        <w:t xml:space="preserve">to include</w:t>
      </w:r>
      <w:r>
        <w:t xml:space="preserve"> [</w:t>
      </w:r>
      <w:r>
        <w:rPr>
          <w:strike/>
        </w:rPr>
        <w:t xml:space="preserve">or</w:t>
      </w:r>
      <w:r>
        <w:t xml:space="preserve">]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