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prescription drug price reductions; imposing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PRESCRIPTION DRUG PRICE REDUCTIONS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"Manufacturer" means anyone who is engaged in making, preparing, propagating, fabricating, compounding, processing, packaging, repackaging, labeling or relabeling of a prescription drug or biological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"Pharmacy benefit manager" and "prescription drug" have the meanings assigned by Section 1369.501.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1369.086.</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1369.087.</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1369.088.</w:t>
      </w:r>
      <w:r>
        <w:rPr>
          <w:u w:val="single"/>
        </w:rPr>
        <w:t xml:space="preserve"> </w:t>
      </w:r>
      <w:r>
        <w:rPr>
          <w:u w:val="single"/>
        </w:rPr>
        <w:t xml:space="preserve"> </w:t>
      </w:r>
      <w:r>
        <w:rPr>
          <w:u w:val="single"/>
        </w:rPr>
        <w:t xml:space="preserve">APPLICATION OF PRICE REDUCTIONS.  (a)  A pharmacy benefit manager that obtains, directly or indirectly, from a manufacturer a reduction in price, whether by discount, rebate, or otherwise, on a prescription drug, on behalf of a health benefit plan issuer or on its own behalf, shall ensure through contracts with the health benefit plan issuer, manufacturer, pharmacy, or any other necessary party that the reduction in price is reflected completely in the price of the prescription drug when it is dispensed to a health benefit plan enrollee at a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Charging the patient a fixed dollar copayment less than the net price negotiated by the pharmacy benefit manager or health plan satisfies the intent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coinsurance charged by the pharmacy benefit manager or health plan shall be calculated off the net price that reflects the reduction in price by discount, rebate, or otherwise negotiated with the manufacturer.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pharmacy benefit manager or health plan may provide the full price reduction provided by the manufacturer directly to the dispensing pharmacy or require the manufacturer to provide the full price reduction, directly or indirectly, through a point-of-sale chargeback or series of point-of-sale chargebacks or as otherwise required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1369.089.</w:t>
      </w:r>
      <w:r>
        <w:rPr>
          <w:u w:val="single"/>
        </w:rPr>
        <w:t xml:space="preserve"> </w:t>
      </w:r>
      <w:r>
        <w:rPr>
          <w:u w:val="single"/>
        </w:rPr>
        <w:t xml:space="preserve"> </w:t>
      </w:r>
      <w:r>
        <w:rPr>
          <w:u w:val="single"/>
        </w:rPr>
        <w:t xml:space="preserve">CIVIL PENALTY; INJUNCTIVE RELIEF.  (a)  A pharmacy benefit manager that violates Section 1369.088 is liable to the state for a civil penalty of three times the total amount of the price reduction that was not reflected in the price of the prescription drug at the time it was dispensed plus $5,000 for each violation that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against a person that violates Section 1369.088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recovery of a civil penalty imposed under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injunctive relief and a civil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B-2, Chapter 1369,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