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4350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prohibited health care discrimination based on vaccination status.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161, Health and Safety Code, is amended by adding Section 161.01095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161.01095.</w:t>
      </w:r>
      <w:r>
        <w:rPr>
          <w:u w:val="single"/>
        </w:rPr>
        <w:t xml:space="preserve"> </w:t>
      </w:r>
      <w:r>
        <w:rPr>
          <w:u w:val="single"/>
        </w:rPr>
        <w:t xml:space="preserve"> </w:t>
      </w:r>
      <w:r>
        <w:rPr>
          <w:u w:val="single"/>
        </w:rPr>
        <w:t xml:space="preserve">PROHIBITED DISCRIMINATION BASED ON VACCINATION STATUS.  (a) </w:t>
      </w:r>
      <w:r>
        <w:rPr>
          <w:u w:val="single"/>
        </w:rPr>
        <w:t xml:space="preserve"> </w:t>
      </w:r>
      <w:r>
        <w:rPr>
          <w:u w:val="single"/>
        </w:rPr>
        <w:t xml:space="preserve">In this section, "health care provider" means an individual or facility licensed, certified, or otherwise authorized to administer health care, for profit or otherwise, in the ordinary course of business or professional practice.  The term includes a physician.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"COVID-19" means the 2019 novel coronavirus disease.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health care provider may not, based on an individual's COVID-19 vaccination status or post-transmission recovery of COVID-19, deny or refuse to provide the individual a health care treatment, procedure, or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Medical Board or another state regulatory agency with jurisdiction over a health care provider subject to this section shall revoke the license, certification, or authorization of a physician or health care provider who the board or agency determines has violated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