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Allison, 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including digital teaching in the micro-credential certification program for public school educator continuing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21.054, Education Code, is amended by amending Subsections (a) and (i) and adding Subsection (i-1)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shall propose rules establishing a process for identifying continuing education courses and programs that fulfill educators' continuing education requirements, including opportunities for educators to receive micro-credentials</w:t>
      </w:r>
      <w:r>
        <w:rPr>
          <w:u w:val="single"/>
        </w:rPr>
        <w:t xml:space="preserve">, as provided by Subsection (i),</w:t>
      </w:r>
      <w:r>
        <w:t xml:space="preserve"> 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fields of study related to the educator's certification class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digital teaching</w:t>
      </w:r>
      <w:r>
        <w:t xml:space="preserve"> [</w:t>
      </w:r>
      <w:r>
        <w:rPr>
          <w:strike/>
        </w:rPr>
        <w:t xml:space="preserve">as provided by Subsection (i)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board shall propose rules establishing a program to issue micro-credentials in fields of study related to an educator's certification class </w:t>
      </w:r>
      <w:r>
        <w:rPr>
          <w:u w:val="single"/>
        </w:rPr>
        <w:t xml:space="preserve">or in digital teaching</w:t>
      </w:r>
      <w:r>
        <w:t xml:space="preserve">.  The agency shall approve continuing education providers to offer micro-credential courses.  A micro-credential  received by an educator shall be recorded on the agency's Educator Certification Online System (ECOS) and included as part of the educator's public certification records.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proposing rules under Subsection (i) for micro-credentials related to digital teaching, the board shall engage relevant stakeholders.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