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88R13728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Rosenthal</w:t>
      </w:r>
      <w:r xml:space="preserve">
        <w:tab wTab="150" tlc="none" cTlc="0"/>
      </w:r>
      <w:r>
        <w:t xml:space="preserve">H.B.</w:t>
      </w:r>
      <w:r xml:space="preserve">
        <w:t> </w:t>
      </w:r>
      <w:r>
        <w:t xml:space="preserve">No.</w:t>
      </w:r>
      <w:r xml:space="preserve">
        <w:t> </w:t>
      </w:r>
      <w:r>
        <w:t xml:space="preserve">4361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Medicaid coverage and reimbursement for certain cancer-related treatments or items.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32, Human Resources Code, is amended by adding Section 32.0427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32.0427.</w:t>
      </w:r>
      <w:r>
        <w:rPr>
          <w:u w:val="single"/>
        </w:rPr>
        <w:t xml:space="preserve"> </w:t>
      </w:r>
      <w:r>
        <w:rPr>
          <w:u w:val="single"/>
        </w:rPr>
        <w:t xml:space="preserve"> </w:t>
      </w:r>
      <w:r>
        <w:rPr>
          <w:u w:val="single"/>
        </w:rPr>
        <w:t xml:space="preserve">REIMBURSEMENT FOR CERTAIN CANCER-RELATED TREATMENTS OR ITEMS.  The commission shall ensure that medical assistance reimbursement is provided to a health care provider for providing the following treatments or items in relation to cancer treatment: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physical therapy;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dental services related to the effects of chemotherapy or radiation,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oral surgery;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dental implants;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dental veneers;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dentures;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compression garments,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sleeves;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garners;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gauntlets;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mastectomy products,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shells;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shapers;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prostheses.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any other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