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et al.</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4390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w:t>
      </w:r>
      <w:r xml:space="preserve">
        <w:t> </w:t>
      </w:r>
      <w:r>
        <w:t xml:space="preserve">2023; May</w:t>
      </w:r>
      <w:r xml:space="preserve">
        <w:t> </w:t>
      </w:r>
      <w:r>
        <w:t xml:space="preserve">4,</w:t>
      </w:r>
      <w:r xml:space="preserve">
        <w:t> </w:t>
      </w:r>
      <w:r>
        <w:t xml:space="preserve">2023, read first time and referred to Committee on Natural Resources &amp; Economic Development;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5, Nays 4;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4390</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Industry-Recognized Apprenticeship Programs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302.252(1), Labor Code, is amended to read as follows:</w:t>
      </w:r>
    </w:p>
    <w:p w:rsidR="003F3435" w:rsidRDefault="0032493E">
      <w:pPr>
        <w:spacing w:line="480" w:lineRule="auto"/>
        <w:ind w:firstLine="1440"/>
        <w:jc w:val="both"/>
      </w:pPr>
      <w:r>
        <w:t xml:space="preserve">(1)</w:t>
      </w:r>
      <w:r xml:space="preserve">
        <w:t> </w:t>
      </w:r>
      <w:r xml:space="preserve">
        <w:t> </w:t>
      </w:r>
      <w:r>
        <w:t xml:space="preserve">"Industry-recognized apprenticeship program" means a training program that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on-the-job training, preparatory instruction, supplementary instruction, or related instruction in an occupation that has been recognized as an apprenticeable occupation by the Office of Apprenticeship of the United States Department of Labor;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is certified </w:t>
      </w:r>
      <w:r>
        <w:rPr>
          <w:u w:val="single"/>
        </w:rPr>
        <w:t xml:space="preserve">by the commission</w:t>
      </w:r>
      <w:r>
        <w:t xml:space="preserve"> as an industry-recognized apprenticeship program [</w:t>
      </w:r>
      <w:r>
        <w:rPr>
          <w:strike/>
        </w:rPr>
        <w:t xml:space="preserve">by a third-party certifier that has received from the United States Department of Labor a favorable determination of qualification to award that certification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302.257, Labor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administer and enforce this subchapter</w:t>
      </w:r>
      <w:r>
        <w:rPr>
          <w:u w:val="single"/>
        </w:rPr>
        <w:t xml:space="preserve">, including rules establishing the criteria and process for the commission to certify a training program as an industry-recognized apprenticeship program for purposes of this subchapter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certification criteria established under Subsection (a) must include that the training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lead to the attainment of skills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customarily learned in a practical way through a structured, systematic program of on-the-job supervised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clearly identified and commonly recognized throughout an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involve manual, mechanical, or technical skills or knowledge requiring significant on-the-job work experience;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related instruction to supplement the on-the-job training.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Workforce Commission shall adopt the rules required by Section 302.257, Labor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grant awarded under Subchapter I, Chapter 302, Labor Code, on or after the effective date of this Act.  A grant awarded before that date is governed by the law in effect on the date the grant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