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88R12562 DIO-D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Cole</w:t>
      </w:r>
      <w:r xml:space="preserve">
        <w:tab wTab="150" tlc="none" cTlc="0"/>
      </w:r>
      <w:r>
        <w:t xml:space="preserve">H.B.</w:t>
      </w:r>
      <w:r xml:space="preserve">
        <w:t> </w:t>
      </w:r>
      <w:r>
        <w:t xml:space="preserve">No.</w:t>
      </w:r>
      <w:r xml:space="preserve">
        <w:t> </w:t>
      </w:r>
      <w:r>
        <w:t xml:space="preserve">4391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prohibition on the University Interscholastic League requiring certain information from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33, Education Code, is amended by adding Section 33.0837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33.0837.</w:t>
      </w:r>
      <w:r>
        <w:rPr>
          <w:u w:val="single"/>
        </w:rPr>
        <w:t xml:space="preserve"> </w:t>
      </w:r>
      <w:r>
        <w:rPr>
          <w:u w:val="single"/>
        </w:rPr>
        <w:t xml:space="preserve"> </w:t>
      </w:r>
      <w:r>
        <w:rPr>
          <w:u w:val="single"/>
        </w:rPr>
        <w:t xml:space="preserve">PROHIBITED REQUIREMENT OF MENSTRUAL CYCLE INFORMATION.  The University Interscholastic League may not require a student to disclose any information in connection with the student's menstrual cycle as a condition for competing in a league activity.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