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88R9417 MPF-D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Paul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4392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election precinct boundaries and the establishment of polling places.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42.0051(b), Election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County election precincts in a county with a population of 250,000 or more may also be combined under Subsection (a) if the changes result in county election precincts with 500 or more but fewer than </w:t>
      </w:r>
      <w:r>
        <w:rPr>
          <w:u w:val="single"/>
        </w:rPr>
        <w:t xml:space="preserve">5,000</w:t>
      </w:r>
      <w:r>
        <w:t xml:space="preserve"> [</w:t>
      </w:r>
      <w:r>
        <w:rPr>
          <w:strike/>
        </w:rPr>
        <w:t xml:space="preserve">750</w:t>
      </w:r>
      <w:r>
        <w:t xml:space="preserve">] registered voters.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Section 43.007, Election Code, is amended by amending Subsection (a) and adding Subsection (q)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The secretary of state shall implement a program to allow each commissioners court participating in the program to [</w:t>
      </w:r>
      <w:r>
        <w:rPr>
          <w:strike/>
        </w:rPr>
        <w:t xml:space="preserve">eliminate county election precinct polling places and</w:t>
      </w:r>
      <w:r>
        <w:t xml:space="preserve">] establish countywide polling places </w:t>
      </w:r>
      <w:r>
        <w:rPr>
          <w:u w:val="single"/>
        </w:rPr>
        <w:t xml:space="preserve">at each county election precinct</w:t>
      </w:r>
      <w:r>
        <w:t xml:space="preserve"> for: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any election required to be conducted by the county;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any election held as part of a joint election agreement with a county under Chapter 271;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any election held under contract for election services with a county under Subchapter D, Chapter 31;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(4)</w:t>
      </w:r>
      <w:r xml:space="preserve">
        <w:t> </w:t>
      </w:r>
      <w:r xml:space="preserve">
        <w:t> </w:t>
      </w:r>
      <w:r>
        <w:t xml:space="preserve">each primary election and runoff primary election if: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the county chair or county executive committee of each political party participating in a joint primary election under Section 172.126 agrees to the use of countywide polling places; or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the county chair or county executive committee of each political party required to nominate candidates by primary election agrees to use the same countywide polling places;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(5)</w:t>
      </w:r>
      <w:r xml:space="preserve">
        <w:t> </w:t>
      </w:r>
      <w:r xml:space="preserve">
        <w:t> </w:t>
      </w:r>
      <w:r>
        <w:t xml:space="preserve">each election of a political subdivision located in the county that is held jointly with an election described by Subdivision (3) or (4).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(q)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Each countywide polling place must be provided with a poll list for the entire county.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Sections 43.007(f), (g), (h), (m), and (n), Election Code, are repealed.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4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4392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