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cardiac arrest registry for information on the incidence and causes of cardiac arrest among certain persons;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93A to read as follows:</w:t>
      </w:r>
    </w:p>
    <w:p w:rsidR="003F3435" w:rsidRDefault="0032493E">
      <w:pPr>
        <w:spacing w:line="480" w:lineRule="auto"/>
        <w:jc w:val="center"/>
      </w:pPr>
      <w:r>
        <w:rPr>
          <w:u w:val="single"/>
        </w:rPr>
        <w:t xml:space="preserve">CHAPTER 93A.  CARDIAC ARREST REGISTRY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93A.001.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University of Texas Southwestern Medical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an individual licensed to practice medicine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"Registry" means the cardiac arrest registry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93A.002.</w:t>
      </w:r>
      <w:r>
        <w:rPr>
          <w:u w:val="single"/>
        </w:rPr>
        <w:t xml:space="preserve"> </w:t>
      </w:r>
      <w:r>
        <w:rPr>
          <w:u w:val="single"/>
        </w:rPr>
        <w:t xml:space="preserve"> </w:t>
      </w:r>
      <w:r>
        <w:rPr>
          <w:u w:val="single"/>
        </w:rPr>
        <w:t xml:space="preserve">ESTABLISHMENT AND MAINTENANCE OF REGISTRY.  (a)  The center shall establish and maintain a cardiac arrest registry to collect and aggregate information on the incidence and causes of cardiac arrest among individuals younger than 36 years of age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day following the date of death of an individual younger than 36 years of age whose death is caused by cardiac arrest, the primary physician who attends the individual's death shall submit to the center for inclusion in the registry information regarding the individual and the death.  The information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and date of the individual's death;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location where and the circumstances under which the cardiac arrest occurred;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activity in which the individual was engaged at the time the cardiac arrest occurred;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on whether the individual was an athlete and if an athlete, each sport the individual participated in and the level at which the individual participated in each sport;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known by the physician or the individual's family, a statement of whether the individual at any time tested positive for coronavirus disease (COVID-19);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information the center determines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93A.003.</w:t>
      </w:r>
      <w:r>
        <w:rPr>
          <w:u w:val="single"/>
        </w:rPr>
        <w:t xml:space="preserve"> </w:t>
      </w:r>
      <w:r>
        <w:rPr>
          <w:u w:val="single"/>
        </w:rPr>
        <w:t xml:space="preserve"> </w:t>
      </w:r>
      <w:r>
        <w:rPr>
          <w:u w:val="single"/>
        </w:rPr>
        <w:t xml:space="preserve">PHYSICIAN ACCESS TO REGISTRY; ANNUAL REPORT.  (a)  The center shall ensure that information maintained in the registry is accessible to physicians who provide medical care to student athletes participating in a sport at any level.  The information must be aggregated and machine-readable in a manner that allows a physician described by this subsection to easily navigate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of each even-numbered year, the center shall prepare and submit to the legislature a written report that summarizes the information submitted to the center for inclusion in the registry during the preceding two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93A.004.</w:t>
      </w:r>
      <w:r>
        <w:rPr>
          <w:u w:val="single"/>
        </w:rPr>
        <w:t xml:space="preserve"> </w:t>
      </w:r>
      <w:r>
        <w:rPr>
          <w:u w:val="single"/>
        </w:rPr>
        <w:t xml:space="preserve"> </w:t>
      </w:r>
      <w:r>
        <w:rPr>
          <w:u w:val="single"/>
        </w:rPr>
        <w:t xml:space="preserve">CONFIDENTIALITY.  The center shall ensure that information accessible to a physician or submitted to the legislature under Section 93A.003 does not disclose an individual's personally identifiable information or information that is confidential under state or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93A.005.</w:t>
      </w:r>
      <w:r>
        <w:rPr>
          <w:u w:val="single"/>
        </w:rPr>
        <w:t xml:space="preserve"> </w:t>
      </w:r>
      <w:r>
        <w:rPr>
          <w:u w:val="single"/>
        </w:rPr>
        <w:t xml:space="preserve"> </w:t>
      </w:r>
      <w:r>
        <w:rPr>
          <w:u w:val="single"/>
        </w:rPr>
        <w:t xml:space="preserve">ADMINISTRATIVE PENALTY.  (a)  The Texas Medical Board may assess an administrative penalty against a physician who violates Section 93A.002.  The administrative penalty may not exceed $500 for each violation and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efforts to correct the violation;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Medical Board by rule shall establish a procedure to collect the administrative penalty.  A proceeding to impose the administrative penalty is considered a contested case under Chapter 2001,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University of Texas Southwestern Medical Center shall establish the cardiac arrest registry as required by Chapter 93A,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r>
        <w:t xml:space="preser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