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88R10031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Slawson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agreements between certain minors and certain digital service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11, Business &amp; Commerce Code, is amended by adding Chapter 509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509. ONLINE AGREEMENTS BETWEEN MINORS AND DIGITAL SERVICE PROVIDERS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service" means a website, an application, a program, or software that performs collection or processing functions with Internet connectivity.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service provider" means a person who owns or operates a digital service.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"Minor" means a child who is at least 13 years of age but younger than 18 years of age.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"Personal identifying information" means any information linked or reasonably linked to a specific minor,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name, account name, alias, or online identifier;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home or other physical address;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Internet Protocol (IP) address or e-mail address;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social security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telephone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driver's license number or state identification card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passport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physical characteristics or description;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race, ethnicity, or national origin;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religion or faith;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sex, gender, or sexual orientation;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disability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political affiliation;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commercial information,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records relating to personal property;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products or services the minor purchased, obtained, or considered;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histories, interests, or tendencies in consumption;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biometric information;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device identifiers, online identifiers, persistent identifiers, or digital fingerprinting information;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(R)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Internet, browsing, or search history, including any information relating to a minor's use of an Internet website;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(S)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geolocation information;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(T)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audio, electronic, visual, thermal, olfactory, or similar information, including facial recognition;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(U)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educational information;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information;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contents of, attachments to, and parties to text messages, e-mails, voicemails, audio conversations, and video conversations;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(X)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information,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bank account numbers;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card numbers;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debit card numbers;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insurance policy numbers;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related to the balance of any financial accounts;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(Y)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inferences drawn from personal identifying information that might identify a minor's traits, characteristics, or trends.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This chapter applies to a digital service provider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collects or processes the personal identifying information of minors;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targets minors;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knows or should know that the digital service appeals to minors.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service targets or appeals to minors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service contains subject matter that is tailored toward minors,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animated characters;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 or activities intended for minors;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music or audio popular among minors;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images containing: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models who are minors;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celebrities who are minors or who are popular among minors;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colloquial use of language that is common among minors;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advertisements intended for minors;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empirical evidence obtained by the digital service provider, an advertiser, the press, third-party complaints, or another entity that conducts privacy and security impact assessments demonstrates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many users of the digital service are minors;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intended audience for the digital service is minors;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service does not target or appeal to minors by referring or linking to a digital service that targets or appeals to minors.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DIGITAL SERVICE PROVIDER DUTIES AND PROHIBITIONS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AGREEMENTS WITH CERTAIN MINORS; EXEMPTIONS.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this section, a digital service provider may not enter into an agreement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section, an agreement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terms of service agreement;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user agreement;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creation of an account for a digital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service provider may enter into an agreement with a minor if the minor's parent or guardian consents in a manner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specific, informed, and unambiguous;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takes into account: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minor's age;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minor's developmental and cognitive needs and capabilities;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only a single specific agreement;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occurs in the absence of any financial or other incentive;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occurs before the agreement is entered into;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occurs in a time, place, and manner that the minor's parent or guardian would expect the consent to be sought;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deceptive or coercive.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ACTION; LIABILITY. (a) A minor's parent or guardian may bring an action against a digital service provider for a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Sections 41.003 and 41.004, Civil Practice and Remedies Code, a parent or guardian who prevails in an action under this section is entitled to receive: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injunctive relief;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punitive damages;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relief the court deems appropriate.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this chapter constitutes an injury in fact to the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false, misleading, or deceptive act or practice as defined by Section 17.46(b). In addition to any remedy under this chapter, a remedy under Subchapter E, Chapter 17, is also available for a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