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crosswalk marking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544, Transportation Code, is amended by adding Section 544.014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544.014.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CROSSWALK MARKING REQUIREMENTS.  (a)  Notwithstanding any other law, a local authority shall indicate a marked crosswalk with one of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white lines that are longitudinal, transverse, or diagonal;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Texas-themed mural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Texas-themed mural authorized by Subsection (a)(2)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completely fill the boundaries of the marked crosswalk;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 white, black, or unpainted background;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feature the shape of the State of Texas, painted in the manner of the Texas flag.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100,000 or more shall identify the five intersections that are most used by pedestrians in the municipality and indicate each marked crosswalk in those intersections with a Texas-themed mural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 Notwithstanding Section 544.014(c), Transportation Code, as added by this Act, a municipality is not required to comply with that subsection until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September 1, 2025, each municipality with a population of 100,000 or more shall conduct a study to identify the five intersections that are most used by pedestrians in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