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88R13379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Wilson, 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and limitations on awarding the Texas Legislative Medal of Honor.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437.351,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legislature by concurrent resolution may direct the governor to award the Texas Legislative Medal of Honor to a service member nominated by the nominating committee.  The committee chairs serving on the nominating committee shall jointly prepare a concurrent resolution directing the governor to award the medal to a service member nominated.  The legislature may direct the medal to be awarded only during a regular session and may not, during a regular session, direct the medal to be awarded to more than: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service member for service in the state or federal military forces during the period beginning after 1835 but before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1956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service member for service in the state or federal military forces </w:t>
      </w:r>
      <w:r>
        <w:rPr>
          <w:u w:val="single"/>
        </w:rPr>
        <w:t xml:space="preserve">on or</w:t>
      </w:r>
      <w:r>
        <w:t xml:space="preserve"> after </w:t>
      </w:r>
      <w:r>
        <w:rPr>
          <w:u w:val="single"/>
        </w:rPr>
        <w:t xml:space="preserve">September 11, 2001</w:t>
      </w:r>
      <w:r>
        <w:t xml:space="preserve"> [</w:t>
      </w:r>
      <w:r>
        <w:rPr>
          <w:strike/>
        </w:rPr>
        <w:t xml:space="preserve">1955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Subsections (a) and (c), the Texas Legislative Medal of Honor shall be awarded to a resident of this state who receives the Congressional Medal of Honor.  A Texas Legislative Medal of Honor awarded under this subsection is not included for purposes of determining the number of medals that may be awarded under Subsection 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