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4421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for and limitations on awarding the Texas Legislative Medal of Honor.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437.351,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legislature by concurrent resolution may direct the governor to award the Texas Legislative Medal of Honor to a service member nominated by the nominating committee.  The committee chairs serving on the nominating committee shall jointly prepare a concurrent resolution directing the governor to award the medal to a service member nominated.  The legislature may direct the medal to be awarded only during a regular session and may not, during a regular session, direct the medal to be awarded to more than: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service member for service in the state or federal military forces during the period beginning after 1835 but before 1956;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one service member for service in the state or federal military forces during the period beginning after January 1, 1956,</w:t>
      </w:r>
      <w:r>
        <w:rPr>
          <w:u w:val="single"/>
        </w:rPr>
        <w:t xml:space="preserve"> but before September 11, 2001;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one service member for service in the state or federal military forces </w:t>
      </w:r>
      <w:r>
        <w:rPr>
          <w:u w:val="single"/>
        </w:rPr>
        <w:t xml:space="preserve">on or</w:t>
      </w:r>
      <w:r>
        <w:t xml:space="preserve"> after </w:t>
      </w:r>
      <w:r>
        <w:rPr>
          <w:u w:val="single"/>
        </w:rPr>
        <w:t xml:space="preserve">September 11, 2001</w:t>
      </w:r>
      <w:r>
        <w:t xml:space="preserve"> [</w:t>
      </w:r>
      <w:r>
        <w:rPr>
          <w:strike/>
        </w:rPr>
        <w:t xml:space="preserve">1955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Subsections (a) and (c), the Texas Legislative Medal of Honor shall be awarded to a resident of this state who receives the Congressional Medal of Honor.  A Texas Legislative Medal of Honor awarded under this subsection is not included for purposes of determining the number of medals that may be awarded under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4421 was passed by the House on May 2, 2023, by the following vote:</w:t>
      </w:r>
      <w:r xml:space="preserve">
        <w:t> </w:t>
      </w:r>
      <w:r xml:space="preserve">
        <w:t> </w:t>
      </w:r>
      <w:r>
        <w:t xml:space="preserve">Yeas 144, Nays 0, 3 present, not voting; and that the House concurred in Senate amendments to H.B. No. 4421 on May 24, 2023, by the following vote:</w:t>
      </w:r>
      <w:r xml:space="preserve">
        <w:t> </w:t>
      </w:r>
      <w:r xml:space="preserve">
        <w:t> </w:t>
      </w:r>
      <w:r>
        <w:t xml:space="preserve">Yeas 143,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4421 was passed by the Senate, with amendments, on May 18,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