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88R14135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w:t>
      </w:r>
      <w:r xml:space="preserve">
        <w:tab wTab="150" tlc="none" cTlc="0"/>
      </w:r>
      <w:r>
        <w:t xml:space="preserve">H.B.</w:t>
      </w:r>
      <w:r xml:space="preserve">
        <w:t> </w:t>
      </w:r>
      <w:r>
        <w:t xml:space="preserve">No.</w:t>
      </w:r>
      <w:r xml:space="preserve">
        <w:t> </w:t>
      </w:r>
      <w:r>
        <w:t xml:space="preserve">4425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temporary exemption from sales and use taxes for household goods.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151, Tax Code, is amended by adding Section 151.360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151.360.</w:t>
      </w:r>
      <w:r>
        <w:rPr>
          <w:u w:val="single"/>
        </w:rPr>
        <w:t xml:space="preserve"> </w:t>
      </w:r>
      <w:r>
        <w:rPr>
          <w:u w:val="single"/>
        </w:rPr>
        <w:t xml:space="preserve"> </w:t>
      </w:r>
      <w:r>
        <w:rPr>
          <w:u w:val="single"/>
        </w:rPr>
        <w:t xml:space="preserve">HOUSEHOLD GOODS FOR LIMITED PERIOD.  (a) </w:t>
      </w:r>
      <w:r>
        <w:rPr>
          <w:u w:val="single"/>
        </w:rPr>
        <w:t xml:space="preserve"> </w:t>
      </w:r>
      <w:r>
        <w:rPr>
          <w:u w:val="single"/>
        </w:rPr>
        <w:t xml:space="preserve">In this section, "household goods" means clothing, furniture, linens, china, crockery, kitchenware, medical equipment and supplies, children's toys, baby supplies, tools, pet supplies, and cleaning supplies.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sale of a taxable item is exempted from the taxes imposed by this chapter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item is household goods;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sales price of the item is less than $200;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sale takes place during the period beginning at 12:01 a.m. Friday, January 5, 2024, and ending at 11:59 p.m. Sunday, January 7,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exemption provided by Subsection (b) does not apply to electronics or accessories, including jewelry, handbags, luggage, umbrellas, wallets, watches, and similar items carried on or about the human body, without regard to whether worn on the body in a manner characteristic of clothing.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January 31, 2024.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