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88R6390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4433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treatment of certain residence homesteads for purposes of the Tax Increment Financing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311.002(1), Tax Code, is amended to read as follows:</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r>
        <w:rPr>
          <w:u w:val="single"/>
        </w:rPr>
        <w:t xml:space="preserve">;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payments made as part of a reinvestment zone stability program established under Section 311.0111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311.006(a), Tax Code, is amended to read as follows:</w:t>
      </w:r>
    </w:p>
    <w:p w:rsidR="003F3435" w:rsidRDefault="0032493E">
      <w:pPr>
        <w:spacing w:line="480" w:lineRule="auto"/>
        <w:ind w:firstLine="720"/>
        <w:jc w:val="both"/>
      </w:pPr>
      <w:r>
        <w:t xml:space="preserve">(a)</w:t>
      </w:r>
      <w:r xml:space="preserve">
        <w:t> </w:t>
      </w:r>
      <w:r xml:space="preserve">
        <w:t> </w:t>
      </w:r>
      <w:r>
        <w:t xml:space="preserve">A municipality may not designate a reinvestment zone if:</w:t>
      </w:r>
    </w:p>
    <w:p w:rsidR="003F3435" w:rsidRDefault="0032493E">
      <w:pPr>
        <w:spacing w:line="480" w:lineRule="auto"/>
        <w:ind w:firstLine="1440"/>
        <w:jc w:val="both"/>
      </w:pPr>
      <w:r>
        <w:t xml:space="preserve">(1)</w:t>
      </w:r>
      <w:r xml:space="preserve">
        <w:t> </w:t>
      </w:r>
      <w:r xml:space="preserve">
        <w:t> </w:t>
      </w:r>
      <w:r>
        <w:t xml:space="preserve">more than </w:t>
      </w:r>
      <w:r>
        <w:rPr>
          <w:u w:val="single"/>
        </w:rPr>
        <w:t xml:space="preserve">40</w:t>
      </w:r>
      <w:r>
        <w:t xml:space="preserve"> [</w:t>
      </w:r>
      <w:r>
        <w:rPr>
          <w:strike/>
        </w:rPr>
        <w:t xml:space="preserve">30</w:t>
      </w:r>
      <w:r>
        <w:t xml:space="preserve">] percent of the property in the proposed zone[</w:t>
      </w:r>
      <w:r>
        <w:rPr>
          <w:strike/>
        </w:rPr>
        <w:t xml:space="preserve">, excluding property that is publicly owned,</w:t>
      </w:r>
      <w:r>
        <w:t xml:space="preserve">] is used for residential purposes</w:t>
      </w:r>
      <w:r>
        <w:rPr>
          <w:u w:val="single"/>
        </w:rPr>
        <w:t xml:space="preserve">, excluding property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publicly owned;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residence homestead owned by a legacy homeowner, as those terms are defined by Section 311.0111</w:t>
      </w:r>
      <w:r>
        <w:t xml:space="preserve">; or</w:t>
      </w:r>
    </w:p>
    <w:p w:rsidR="003F3435" w:rsidRDefault="0032493E">
      <w:pPr>
        <w:spacing w:line="480" w:lineRule="auto"/>
        <w:ind w:firstLine="1440"/>
        <w:jc w:val="both"/>
      </w:pPr>
      <w:r>
        <w:t xml:space="preserve">(2)</w:t>
      </w:r>
      <w:r xml:space="preserve">
        <w:t> </w:t>
      </w:r>
      <w:r xml:space="preserve">
        <w:t> </w:t>
      </w:r>
      <w:r>
        <w:t xml:space="preserve">the total appraised value of taxable real property in the proposed zone and in existing reinvestment zones exceeds:</w:t>
      </w:r>
    </w:p>
    <w:p w:rsidR="003F3435" w:rsidRDefault="0032493E">
      <w:pPr>
        <w:spacing w:line="480" w:lineRule="auto"/>
        <w:ind w:firstLine="2160"/>
        <w:jc w:val="both"/>
      </w:pPr>
      <w:r>
        <w:t xml:space="preserve">(A)</w:t>
      </w:r>
      <w:r xml:space="preserve">
        <w:t> </w:t>
      </w:r>
      <w:r xml:space="preserve">
        <w:t> </w:t>
      </w:r>
      <w:r>
        <w:t xml:space="preserve">25 percent of the total appraised value of taxable real property in the municipality and in the industrial districts created by the municipality, if the municipality has a population of 100,000 or more; or</w:t>
      </w:r>
    </w:p>
    <w:p w:rsidR="003F3435" w:rsidRDefault="0032493E">
      <w:pPr>
        <w:spacing w:line="480" w:lineRule="auto"/>
        <w:ind w:firstLine="2160"/>
        <w:jc w:val="both"/>
      </w:pPr>
      <w:r>
        <w:t xml:space="preserve">(B)</w:t>
      </w:r>
      <w:r xml:space="preserve">
        <w:t> </w:t>
      </w:r>
      <w:r xml:space="preserve">
        <w:t> </w:t>
      </w:r>
      <w:r>
        <w:t xml:space="preserve">50 percent of the total appraised value of taxable real property in the municipality and in the industrial districts created by the municipality, if the municipality has a population of less than 100,000.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311, Tax Code, is amended by adding Section 311.0111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311.0111.</w:t>
      </w:r>
      <w:r>
        <w:rPr>
          <w:u w:val="single"/>
        </w:rPr>
        <w:t xml:space="preserve"> </w:t>
      </w:r>
      <w:r>
        <w:rPr>
          <w:u w:val="single"/>
        </w:rPr>
        <w:t xml:space="preserve"> </w:t>
      </w:r>
      <w:r>
        <w:rPr>
          <w:u w:val="single"/>
        </w:rPr>
        <w:t xml:space="preserve">REINVESTMENT ZONE STABILITY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"Legacy homeowner" means the owner of a residence homestead located in a reinvestment zone who has continuously resided in and received an exemption under Section 11.13 for the homestead for at least seven years preceding the date the governing body of the county or municipality designated the zone in which the homestead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reinvestment zone stability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project plan prepared and adopted by the board of directors of a reinvestment zone under Section 311.011 may authorize the board of directors to establish a reinvestment zone stability program, the purpose of which is to ensure that all residents of the zone benefit from its designation.  The governing body of the county or municipality that designated the zone and any affiliated community organizations may participate in the development of the program.  As part of a program established under this section, the board may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project plan for a reinvestment zone authorizes annual payments on behalf of legacy homeowners, the plan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 annual payment made under the program to a legacy homeowner may not exceed the amount determined for that homeowner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of time for which annual payments may be made on behalf of a legacy homeowner may not exceed 10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maximum amount of an annual payment that may be made on behalf of a legacy homeowner for a tax year is equal to the positive difference, if any, between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 valorem taxes due on the homeowner's homestead for that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 valorem taxes due on the homeowner's homestead for the tax year in which the reinvestment zone in which the homestead is located was designated.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