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88R14365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Schatzline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registration, ownership, and operation of certain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502.143,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502.143.</w:t>
      </w:r>
      <w:r xml:space="preserve">
        <w:t> </w:t>
      </w:r>
      <w:r xml:space="preserve">
        <w:t> </w:t>
      </w:r>
      <w:r>
        <w:t xml:space="preserve">OTHER VEHICLES.</w:t>
      </w:r>
      <w:r xml:space="preserve">
        <w:t> </w:t>
      </w:r>
      <w:r>
        <w:rPr>
          <w:u w:val="single"/>
        </w:rPr>
        <w:t xml:space="preserve">(a)</w:t>
      </w:r>
      <w:r xml:space="preserve">
        <w:t> </w:t>
      </w:r>
      <w:r>
        <w:t xml:space="preserve">An owner may not register the following vehicles for operation on a public highway: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power sweepers;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motorized mobility devices;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electric personal assistive mobility devices;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electric bicycles, as defined by Section 664.001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motor vehicles that are equipped with remote vehicle disabling technology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(a)(5),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"remote vehicle disabling technology" means any application or device, including software, firmware, and hardware, that, when activated or engaged, allows a person to disable the operation of a motor vehicle.  The term does not include an ignition interlock device as defined by Article 42A.408,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542, Transportation Code, is amended by adding Section 542.502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542.502.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MOTOR VEHICLE POWERED BY INTERNAL COMBUSTION ENGINE; OPERATION OF VEHICLE USING HUMAN DECISION-MAKING.  A person may not be prohibited from owning a motor vehicle that is powered by an internal combustion engine or from operating that vehicle using human decision-making, regardless of any other law or regulation requiring a motor vehicle to be equipped with or operated using an automated driving system, as defined by Section 545.451.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