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88R12489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advisory council on the needs of LGBTQ older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"Advisory council" means the advisory council on LGBTQ older adults established under this section.</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"LGBTQ" includes individuals who are lesbian, gay, bisexual, transgender, intersex, gender nonconforming, two-spirit, non-binary, same-gender-loving, queer, or any other diverse sexual orientation or gender identity.</w:t>
      </w:r>
    </w:p>
    <w:p w:rsidR="003F3435" w:rsidRDefault="0032493E">
      <w:pPr>
        <w:spacing w:line="480" w:lineRule="auto"/>
        <w:ind w:firstLine="1440"/>
        <w:jc w:val="both"/>
      </w:pPr>
      <w:r>
        <w:t xml:space="preserve">(4)</w:t>
      </w:r>
      <w:r xml:space="preserve">
        <w:t> </w:t>
      </w:r>
      <w:r xml:space="preserve">
        <w:t> </w:t>
      </w:r>
      <w:r>
        <w:t xml:space="preserve">"Older adult" means individuals who are 55 years of age or older.</w:t>
      </w:r>
    </w:p>
    <w:p w:rsidR="003F3435" w:rsidRDefault="0032493E">
      <w:pPr>
        <w:spacing w:line="480" w:lineRule="auto"/>
        <w:ind w:firstLine="720"/>
        <w:jc w:val="both"/>
      </w:pPr>
      <w:r>
        <w:t xml:space="preserve">(b)</w:t>
      </w:r>
      <w:r xml:space="preserve">
        <w:t> </w:t>
      </w:r>
      <w:r xml:space="preserve">
        <w:t> </w:t>
      </w:r>
      <w:r>
        <w:t xml:space="preserve">The advisory council on LGBTQ older adults is established within the Health and Human Services Commission. The commission shall provide administrative support to the advisory council as necessary for the advisory council to perform its duties under this section.</w:t>
      </w:r>
    </w:p>
    <w:p w:rsidR="003F3435" w:rsidRDefault="0032493E">
      <w:pPr>
        <w:spacing w:line="480" w:lineRule="auto"/>
        <w:ind w:firstLine="720"/>
        <w:jc w:val="both"/>
      </w:pPr>
      <w:r>
        <w:t xml:space="preserve">(c)</w:t>
      </w:r>
      <w:r xml:space="preserve">
        <w:t> </w:t>
      </w:r>
      <w:r xml:space="preserve">
        <w:t> </w:t>
      </w:r>
      <w:r>
        <w:t xml:space="preserve">The advisory council is composed of:</w:t>
      </w:r>
    </w:p>
    <w:p w:rsidR="003F3435" w:rsidRDefault="0032493E">
      <w:pPr>
        <w:spacing w:line="480" w:lineRule="auto"/>
        <w:ind w:firstLine="1440"/>
        <w:jc w:val="both"/>
      </w:pPr>
      <w:r>
        <w:t xml:space="preserve">(1)</w:t>
      </w:r>
      <w:r xml:space="preserve">
        <w:t> </w:t>
      </w:r>
      <w:r xml:space="preserve">
        <w:t> </w:t>
      </w:r>
      <w:r>
        <w:t xml:space="preserve">24 members appointed by the governor to include:</w:t>
      </w:r>
    </w:p>
    <w:p w:rsidR="003F3435" w:rsidRDefault="0032493E">
      <w:pPr>
        <w:spacing w:line="480" w:lineRule="auto"/>
        <w:ind w:firstLine="2160"/>
        <w:jc w:val="both"/>
      </w:pPr>
      <w:r>
        <w:t xml:space="preserve">(A)</w:t>
      </w:r>
      <w:r xml:space="preserve">
        <w:t> </w:t>
      </w:r>
      <w:r xml:space="preserve">
        <w:t> </w:t>
      </w:r>
      <w:r>
        <w:t xml:space="preserve">one representative from a statewide organization that advocates for older adults;</w:t>
      </w:r>
    </w:p>
    <w:p w:rsidR="003F3435" w:rsidRDefault="0032493E">
      <w:pPr>
        <w:spacing w:line="480" w:lineRule="auto"/>
        <w:ind w:firstLine="2160"/>
        <w:jc w:val="both"/>
      </w:pPr>
      <w:r>
        <w:t xml:space="preserve">(B)</w:t>
      </w:r>
      <w:r xml:space="preserve">
        <w:t> </w:t>
      </w:r>
      <w:r xml:space="preserve">
        <w:t> </w:t>
      </w:r>
      <w:r>
        <w:t xml:space="preserve">one representative from a national organization that advocates for LGBTQ older adults;</w:t>
      </w:r>
    </w:p>
    <w:p w:rsidR="003F3435" w:rsidRDefault="0032493E">
      <w:pPr>
        <w:spacing w:line="480" w:lineRule="auto"/>
        <w:ind w:firstLine="2160"/>
        <w:jc w:val="both"/>
      </w:pPr>
      <w:r>
        <w:t xml:space="preserve">(C)</w:t>
      </w:r>
      <w:r xml:space="preserve">
        <w:t> </w:t>
      </w:r>
      <w:r xml:space="preserve">
        <w:t> </w:t>
      </w:r>
      <w:r>
        <w:t xml:space="preserve">one representative from a community-based, multisite health care organization founded to serve LGBTQ people;</w:t>
      </w:r>
    </w:p>
    <w:p w:rsidR="003F3435" w:rsidRDefault="0032493E">
      <w:pPr>
        <w:spacing w:line="480" w:lineRule="auto"/>
        <w:ind w:firstLine="2160"/>
        <w:jc w:val="both"/>
      </w:pPr>
      <w:r>
        <w:t xml:space="preserve">(D)</w:t>
      </w:r>
      <w:r xml:space="preserve">
        <w:t> </w:t>
      </w:r>
      <w:r xml:space="preserve">
        <w:t> </w:t>
      </w:r>
      <w:r>
        <w:t xml:space="preserve">the director of senior services from a community center serving LGBTQ people, or the director's designee;</w:t>
      </w:r>
    </w:p>
    <w:p w:rsidR="003F3435" w:rsidRDefault="0032493E">
      <w:pPr>
        <w:spacing w:line="480" w:lineRule="auto"/>
        <w:ind w:firstLine="2160"/>
        <w:jc w:val="both"/>
      </w:pPr>
      <w:r>
        <w:t xml:space="preserve">(E)</w:t>
      </w:r>
      <w:r xml:space="preserve">
        <w:t> </w:t>
      </w:r>
      <w:r xml:space="preserve">
        <w:t> </w:t>
      </w:r>
      <w:r>
        <w:t xml:space="preserve">one representative from an HIV or AIDS service organization;</w:t>
      </w:r>
    </w:p>
    <w:p w:rsidR="003F3435" w:rsidRDefault="0032493E">
      <w:pPr>
        <w:spacing w:line="480" w:lineRule="auto"/>
        <w:ind w:firstLine="2160"/>
        <w:jc w:val="both"/>
      </w:pPr>
      <w:r>
        <w:t xml:space="preserve">(F)</w:t>
      </w:r>
      <w:r xml:space="preserve">
        <w:t> </w:t>
      </w:r>
      <w:r xml:space="preserve">
        <w:t> </w:t>
      </w:r>
      <w:r>
        <w:t xml:space="preserve">one representative from a community organization that is focused on action leading to improved outcomes and opportunities for LGBTQ communities;</w:t>
      </w:r>
    </w:p>
    <w:p w:rsidR="003F3435" w:rsidRDefault="0032493E">
      <w:pPr>
        <w:spacing w:line="480" w:lineRule="auto"/>
        <w:ind w:firstLine="2160"/>
        <w:jc w:val="both"/>
      </w:pPr>
      <w:r>
        <w:t xml:space="preserve">(G)</w:t>
      </w:r>
      <w:r xml:space="preserve">
        <w:t> </w:t>
      </w:r>
      <w:r xml:space="preserve">
        <w:t> </w:t>
      </w:r>
      <w:r>
        <w:t xml:space="preserve">one representative from a labor organization that provides care and services for older adults in long-term care facilities;</w:t>
      </w:r>
    </w:p>
    <w:p w:rsidR="003F3435" w:rsidRDefault="0032493E">
      <w:pPr>
        <w:spacing w:line="480" w:lineRule="auto"/>
        <w:ind w:firstLine="2160"/>
        <w:jc w:val="both"/>
      </w:pPr>
      <w:r>
        <w:t xml:space="preserve">(H)</w:t>
      </w:r>
      <w:r xml:space="preserve">
        <w:t> </w:t>
      </w:r>
      <w:r xml:space="preserve">
        <w:t> </w:t>
      </w:r>
      <w:r>
        <w:t xml:space="preserve">one representative from a statewide association representing long-term care facilities;</w:t>
      </w:r>
    </w:p>
    <w:p w:rsidR="003F3435" w:rsidRDefault="0032493E">
      <w:pPr>
        <w:spacing w:line="480" w:lineRule="auto"/>
        <w:ind w:firstLine="2160"/>
        <w:jc w:val="both"/>
      </w:pPr>
      <w:r>
        <w:t xml:space="preserve">(I)</w:t>
      </w:r>
      <w:r xml:space="preserve">
        <w:t> </w:t>
      </w:r>
      <w:r xml:space="preserve">
        <w:t> </w:t>
      </w:r>
      <w:r>
        <w:t xml:space="preserve">five representatives from organizations that serve black, Asian American, Pacific Islander, Native American, or Hispanic LGBTQ people;</w:t>
      </w:r>
    </w:p>
    <w:p w:rsidR="003F3435" w:rsidRDefault="0032493E">
      <w:pPr>
        <w:spacing w:line="480" w:lineRule="auto"/>
        <w:ind w:firstLine="2160"/>
        <w:jc w:val="both"/>
      </w:pPr>
      <w:r>
        <w:t xml:space="preserve">(J)</w:t>
      </w:r>
      <w:r xml:space="preserve">
        <w:t> </w:t>
      </w:r>
      <w:r xml:space="preserve">
        <w:t> </w:t>
      </w:r>
      <w:r>
        <w:t xml:space="preserve">one representative from a statewide organization for people with disabilities; and</w:t>
      </w:r>
    </w:p>
    <w:p w:rsidR="003F3435" w:rsidRDefault="0032493E">
      <w:pPr>
        <w:spacing w:line="480" w:lineRule="auto"/>
        <w:ind w:firstLine="2160"/>
        <w:jc w:val="both"/>
      </w:pPr>
      <w:r>
        <w:t xml:space="preserve">(K)</w:t>
      </w:r>
      <w:r xml:space="preserve">
        <w:t> </w:t>
      </w:r>
      <w:r xml:space="preserve">
        <w:t> </w:t>
      </w:r>
      <w:r>
        <w:t xml:space="preserve">10 LGBTQ older adults, including at least:</w:t>
      </w:r>
    </w:p>
    <w:p w:rsidR="003F3435" w:rsidRDefault="0032493E">
      <w:pPr>
        <w:spacing w:line="480" w:lineRule="auto"/>
        <w:ind w:firstLine="2880"/>
        <w:jc w:val="both"/>
      </w:pPr>
      <w:r>
        <w:t xml:space="preserve">(i)</w:t>
      </w:r>
      <w:r xml:space="preserve">
        <w:t> </w:t>
      </w:r>
      <w:r xml:space="preserve">
        <w:t> </w:t>
      </w:r>
      <w:r>
        <w:t xml:space="preserve">three individuals who are transgender or gender-expansive;</w:t>
      </w:r>
    </w:p>
    <w:p w:rsidR="003F3435" w:rsidRDefault="0032493E">
      <w:pPr>
        <w:spacing w:line="480" w:lineRule="auto"/>
        <w:ind w:firstLine="2880"/>
        <w:jc w:val="both"/>
      </w:pPr>
      <w:r>
        <w:t xml:space="preserve">(ii)</w:t>
      </w:r>
      <w:r xml:space="preserve">
        <w:t> </w:t>
      </w:r>
      <w:r xml:space="preserve">
        <w:t> </w:t>
      </w:r>
      <w:r>
        <w:t xml:space="preserve">two individuals who are older adults living with HIV;</w:t>
      </w:r>
    </w:p>
    <w:p w:rsidR="003F3435" w:rsidRDefault="0032493E">
      <w:pPr>
        <w:spacing w:line="480" w:lineRule="auto"/>
        <w:ind w:firstLine="2880"/>
        <w:jc w:val="both"/>
      </w:pPr>
      <w:r>
        <w:t xml:space="preserve">(iii)</w:t>
      </w:r>
      <w:r xml:space="preserve">
        <w:t> </w:t>
      </w:r>
      <w:r xml:space="preserve">
        <w:t> </w:t>
      </w:r>
      <w:r>
        <w:t xml:space="preserve">one individual who is two-spirit;</w:t>
      </w:r>
    </w:p>
    <w:p w:rsidR="003F3435" w:rsidRDefault="0032493E">
      <w:pPr>
        <w:spacing w:line="480" w:lineRule="auto"/>
        <w:ind w:firstLine="2880"/>
        <w:jc w:val="both"/>
      </w:pPr>
      <w:r>
        <w:t xml:space="preserve">(iv)</w:t>
      </w:r>
      <w:r xml:space="preserve">
        <w:t> </w:t>
      </w:r>
      <w:r xml:space="preserve">
        <w:t> </w:t>
      </w:r>
      <w:r>
        <w:t xml:space="preserve">one individual who is African American or black;</w:t>
      </w:r>
    </w:p>
    <w:p w:rsidR="003F3435" w:rsidRDefault="0032493E">
      <w:pPr>
        <w:spacing w:line="480" w:lineRule="auto"/>
        <w:ind w:firstLine="2880"/>
        <w:jc w:val="both"/>
      </w:pPr>
      <w:r>
        <w:t xml:space="preserve">(v)</w:t>
      </w:r>
      <w:r xml:space="preserve">
        <w:t> </w:t>
      </w:r>
      <w:r xml:space="preserve">
        <w:t> </w:t>
      </w:r>
      <w:r>
        <w:t xml:space="preserve">one individual who is Hispanic;</w:t>
      </w:r>
    </w:p>
    <w:p w:rsidR="003F3435" w:rsidRDefault="0032493E">
      <w:pPr>
        <w:spacing w:line="480" w:lineRule="auto"/>
        <w:ind w:firstLine="2880"/>
        <w:jc w:val="both"/>
      </w:pPr>
      <w:r>
        <w:t xml:space="preserve">(vi)</w:t>
      </w:r>
      <w:r xml:space="preserve">
        <w:t> </w:t>
      </w:r>
      <w:r xml:space="preserve">
        <w:t> </w:t>
      </w:r>
      <w:r>
        <w:t xml:space="preserve">one individual who is Asian American or Pacific Islander; and</w:t>
      </w:r>
    </w:p>
    <w:p w:rsidR="003F3435" w:rsidRDefault="0032493E">
      <w:pPr>
        <w:spacing w:line="480" w:lineRule="auto"/>
        <w:ind w:firstLine="2880"/>
        <w:jc w:val="both"/>
      </w:pPr>
      <w:r>
        <w:t xml:space="preserve">(vii)</w:t>
      </w:r>
      <w:r xml:space="preserve">
        <w:t> </w:t>
      </w:r>
      <w:r xml:space="preserve">
        <w:t> </w:t>
      </w:r>
      <w:r>
        <w:t xml:space="preserve">one individual who is ethnically diverse; and</w:t>
      </w:r>
    </w:p>
    <w:p w:rsidR="003F3435" w:rsidRDefault="0032493E">
      <w:pPr>
        <w:spacing w:line="480" w:lineRule="auto"/>
        <w:ind w:firstLine="1440"/>
        <w:jc w:val="both"/>
      </w:pPr>
      <w:r>
        <w:t xml:space="preserve">(2)</w:t>
      </w:r>
      <w:r xml:space="preserve">
        <w:t> </w:t>
      </w:r>
      <w:r xml:space="preserve">
        <w:t> </w:t>
      </w:r>
      <w:r>
        <w:t xml:space="preserve">four ex officio members to represent each of the following state agencies:</w:t>
      </w:r>
    </w:p>
    <w:p w:rsidR="003F3435" w:rsidRDefault="0032493E">
      <w:pPr>
        <w:spacing w:line="480" w:lineRule="auto"/>
        <w:ind w:firstLine="2160"/>
        <w:jc w:val="both"/>
      </w:pPr>
      <w:r>
        <w:t xml:space="preserve">(A)</w:t>
      </w:r>
      <w:r xml:space="preserve">
        <w:t> </w:t>
      </w:r>
      <w:r xml:space="preserve">
        <w:t> </w:t>
      </w:r>
      <w:r>
        <w:t xml:space="preserve">one member designated by the executive commissioner of the Health and Human Services Commission;</w:t>
      </w:r>
    </w:p>
    <w:p w:rsidR="003F3435" w:rsidRDefault="0032493E">
      <w:pPr>
        <w:spacing w:line="480" w:lineRule="auto"/>
        <w:ind w:firstLine="2160"/>
        <w:jc w:val="both"/>
      </w:pPr>
      <w:r>
        <w:t xml:space="preserve">(B)</w:t>
      </w:r>
      <w:r xml:space="preserve">
        <w:t> </w:t>
      </w:r>
      <w:r xml:space="preserve">
        <w:t> </w:t>
      </w:r>
      <w:r>
        <w:t xml:space="preserve">one member designated by the commissioner of state health services;</w:t>
      </w:r>
    </w:p>
    <w:p w:rsidR="003F3435" w:rsidRDefault="0032493E">
      <w:pPr>
        <w:spacing w:line="480" w:lineRule="auto"/>
        <w:ind w:firstLine="2160"/>
        <w:jc w:val="both"/>
      </w:pPr>
      <w:r>
        <w:t xml:space="preserve">(C)</w:t>
      </w:r>
      <w:r xml:space="preserve">
        <w:t> </w:t>
      </w:r>
      <w:r xml:space="preserve">
        <w:t> </w:t>
      </w:r>
      <w:r>
        <w:t xml:space="preserve">one member designated by the commissioner of the Department of Family and Protective Services; and</w:t>
      </w:r>
    </w:p>
    <w:p w:rsidR="003F3435" w:rsidRDefault="0032493E">
      <w:pPr>
        <w:spacing w:line="480" w:lineRule="auto"/>
        <w:ind w:firstLine="2160"/>
        <w:jc w:val="both"/>
      </w:pPr>
      <w:r>
        <w:t xml:space="preserve">(D)</w:t>
      </w:r>
      <w:r xml:space="preserve">
        <w:t> </w:t>
      </w:r>
      <w:r xml:space="preserve">
        <w:t> </w:t>
      </w:r>
      <w:r>
        <w:t xml:space="preserve">one  member designated by the commission chair of the Texas Veterans Commission.</w:t>
      </w:r>
    </w:p>
    <w:p w:rsidR="003F3435" w:rsidRDefault="0032493E">
      <w:pPr>
        <w:spacing w:line="480" w:lineRule="auto"/>
        <w:ind w:firstLine="720"/>
        <w:jc w:val="both"/>
      </w:pPr>
      <w:r>
        <w:t xml:space="preserve">(d)</w:t>
      </w:r>
      <w:r xml:space="preserve">
        <w:t> </w:t>
      </w:r>
      <w:r xml:space="preserve">
        <w:t> </w:t>
      </w:r>
      <w:r>
        <w:t xml:space="preserve">In appointing members and ex officio members to the advisory council under Subsection (c) of this section, the governor and state agency officials shall ensure, to the maximum extent practicable, that the advisory council is diverse with respect to race, ethnicity, age, sexual orientation, gender identity, gender expression, and geography.</w:t>
      </w:r>
    </w:p>
    <w:p w:rsidR="003F3435" w:rsidRDefault="0032493E">
      <w:pPr>
        <w:spacing w:line="480" w:lineRule="auto"/>
        <w:ind w:firstLine="720"/>
        <w:jc w:val="both"/>
      </w:pPr>
      <w:r>
        <w:t xml:space="preserve">(e)</w:t>
      </w:r>
      <w:r xml:space="preserve">
        <w:t> </w:t>
      </w:r>
      <w:r xml:space="preserve">
        <w:t> </w:t>
      </w:r>
      <w:r>
        <w:t xml:space="preserve">If a vacancy occurs on the advisory council, the vacancy shall be filled by the appointing authority as described by Subsection (c) of this section.  A vacating member shall continue to serve until a successor is appointed.</w:t>
      </w:r>
    </w:p>
    <w:p w:rsidR="003F3435" w:rsidRDefault="0032493E">
      <w:pPr>
        <w:spacing w:line="480" w:lineRule="auto"/>
        <w:ind w:firstLine="720"/>
        <w:jc w:val="both"/>
      </w:pPr>
      <w:r>
        <w:t xml:space="preserve">(f)</w:t>
      </w:r>
      <w:r xml:space="preserve">
        <w:t> </w:t>
      </w:r>
      <w:r xml:space="preserve">
        <w:t> </w:t>
      </w:r>
      <w:r>
        <w:t xml:space="preserve">Members of the advisory council are not entitled to compensation but are entitled to reimbursement of actual and necessary expenses incurred in the performance of their duties under Section 2110.004, Government Code.</w:t>
      </w:r>
    </w:p>
    <w:p w:rsidR="003F3435" w:rsidRDefault="0032493E">
      <w:pPr>
        <w:spacing w:line="480" w:lineRule="auto"/>
        <w:ind w:firstLine="720"/>
        <w:jc w:val="both"/>
      </w:pPr>
      <w:r>
        <w:t xml:space="preserve">(g)</w:t>
      </w:r>
      <w:r xml:space="preserve">
        <w:t> </w:t>
      </w:r>
      <w:r xml:space="preserve">
        <w:t> </w:t>
      </w:r>
      <w:r>
        <w:t xml:space="preserve">The advisory council shall:</w:t>
      </w:r>
    </w:p>
    <w:p w:rsidR="003F3435" w:rsidRDefault="0032493E">
      <w:pPr>
        <w:spacing w:line="480" w:lineRule="auto"/>
        <w:ind w:firstLine="1440"/>
        <w:jc w:val="both"/>
      </w:pPr>
      <w:r>
        <w:t xml:space="preserve">(1)</w:t>
      </w:r>
      <w:r xml:space="preserve">
        <w:t> </w:t>
      </w:r>
      <w:r xml:space="preserve">
        <w:t> </w:t>
      </w:r>
      <w:r>
        <w:t xml:space="preserve">investigate, analyze, and study the health, housing, financial, psychosocial, home and community-based services, assisted living, and long-term care needs of LGBTQ older adults and their caregivers; and</w:t>
      </w:r>
    </w:p>
    <w:p w:rsidR="003F3435" w:rsidRDefault="0032493E">
      <w:pPr>
        <w:spacing w:line="480" w:lineRule="auto"/>
        <w:ind w:firstLine="1440"/>
        <w:jc w:val="both"/>
      </w:pPr>
      <w:r>
        <w:t xml:space="preserve">(2)</w:t>
      </w:r>
      <w:r xml:space="preserve">
        <w:t> </w:t>
      </w:r>
      <w:r xml:space="preserve">
        <w:t> </w:t>
      </w:r>
      <w:r>
        <w:t xml:space="preserve">make recommendations to the legislature to improve access to benefits, services, and supports for LGBTQ older adults and their caregivers.</w:t>
      </w:r>
    </w:p>
    <w:p w:rsidR="003F3435" w:rsidRDefault="0032493E">
      <w:pPr>
        <w:spacing w:line="480" w:lineRule="auto"/>
        <w:ind w:firstLine="720"/>
        <w:jc w:val="both"/>
      </w:pPr>
      <w:r>
        <w:t xml:space="preserve">(h)</w:t>
      </w:r>
      <w:r xml:space="preserve">
        <w:t> </w:t>
      </w:r>
      <w:r xml:space="preserve">
        <w:t> </w:t>
      </w:r>
      <w:r>
        <w:t xml:space="preserve">In carrying out its duties under Subsection (g) of this section, the advisory council shall:</w:t>
      </w:r>
    </w:p>
    <w:p w:rsidR="003F3435" w:rsidRDefault="0032493E">
      <w:pPr>
        <w:spacing w:line="480" w:lineRule="auto"/>
        <w:ind w:firstLine="1440"/>
        <w:jc w:val="both"/>
      </w:pPr>
      <w:r>
        <w:t xml:space="preserve">(1)</w:t>
      </w:r>
      <w:r xml:space="preserve">
        <w:t> </w:t>
      </w:r>
      <w:r xml:space="preserve">
        <w:t> </w:t>
      </w:r>
      <w:r>
        <w:t xml:space="preserve">examine the impact of state and local laws, policies, and rules on LGBTQ older adults;</w:t>
      </w:r>
    </w:p>
    <w:p w:rsidR="003F3435" w:rsidRDefault="0032493E">
      <w:pPr>
        <w:spacing w:line="480" w:lineRule="auto"/>
        <w:ind w:firstLine="1440"/>
        <w:jc w:val="both"/>
      </w:pPr>
      <w:r>
        <w:t xml:space="preserve">(2)</w:t>
      </w:r>
      <w:r xml:space="preserve">
        <w:t> </w:t>
      </w:r>
      <w:r xml:space="preserve">
        <w:t> </w:t>
      </w:r>
      <w:r>
        <w:t xml:space="preserve">examine best practices for increasing access to services, reducing isolation, preventing abuse and exploitation, promoting independence and self-determination, strengthening caregiving, eliminating disparities in services, and improving overall quality of life for LGBTQ older adults;</w:t>
      </w:r>
    </w:p>
    <w:p w:rsidR="003F3435" w:rsidRDefault="0032493E">
      <w:pPr>
        <w:spacing w:line="480" w:lineRule="auto"/>
        <w:ind w:firstLine="1440"/>
        <w:jc w:val="both"/>
      </w:pPr>
      <w:r>
        <w:t xml:space="preserve">(3)</w:t>
      </w:r>
      <w:r xml:space="preserve">
        <w:t> </w:t>
      </w:r>
      <w:r xml:space="preserve">
        <w:t> </w:t>
      </w:r>
      <w:r>
        <w:t xml:space="preserve">examine the impact of race, ethnicity, sex assignment at birth, socioeconomic status, disability, sexual orientation, gender identity, and other characteristics on access to services for LGBTQ older adults;</w:t>
      </w:r>
    </w:p>
    <w:p w:rsidR="003F3435" w:rsidRDefault="0032493E">
      <w:pPr>
        <w:spacing w:line="480" w:lineRule="auto"/>
        <w:ind w:firstLine="1440"/>
        <w:jc w:val="both"/>
      </w:pPr>
      <w:r>
        <w:t xml:space="preserve">(4)</w:t>
      </w:r>
      <w:r xml:space="preserve">
        <w:t> </w:t>
      </w:r>
      <w:r xml:space="preserve">
        <w:t> </w:t>
      </w:r>
      <w:r>
        <w:t xml:space="preserve">examine the experiences and needs of LGBTQ older adults living with HIV or AIDS;</w:t>
      </w:r>
    </w:p>
    <w:p w:rsidR="003F3435" w:rsidRDefault="0032493E">
      <w:pPr>
        <w:spacing w:line="480" w:lineRule="auto"/>
        <w:ind w:firstLine="1440"/>
        <w:jc w:val="both"/>
      </w:pPr>
      <w:r>
        <w:t xml:space="preserve">(5)</w:t>
      </w:r>
      <w:r xml:space="preserve">
        <w:t> </w:t>
      </w:r>
      <w:r xml:space="preserve">
        <w:t> </w:t>
      </w:r>
      <w:r>
        <w:t xml:space="preserve">examine strategies to increase the awareness of health care providers  on the needs of LGBTQ older adults and their caregivers and to improve the competence of and access to treatment, services, and ongoing care, including preventive care;</w:t>
      </w:r>
    </w:p>
    <w:p w:rsidR="003F3435" w:rsidRDefault="0032493E">
      <w:pPr>
        <w:spacing w:line="480" w:lineRule="auto"/>
        <w:ind w:firstLine="1440"/>
        <w:jc w:val="both"/>
      </w:pPr>
      <w:r>
        <w:t xml:space="preserve">(6)</w:t>
      </w:r>
      <w:r xml:space="preserve">
        <w:t> </w:t>
      </w:r>
      <w:r xml:space="preserve">
        <w:t> </w:t>
      </w:r>
      <w:r>
        <w:t xml:space="preserve">examine the feasibility of developing statewide training curricula to improve provider competency in the delivery of culturally responsive health, housing, and long-term support services to LGBTQ older adults and their caregivers;</w:t>
      </w:r>
    </w:p>
    <w:p w:rsidR="003F3435" w:rsidRDefault="0032493E">
      <w:pPr>
        <w:spacing w:line="480" w:lineRule="auto"/>
        <w:ind w:firstLine="1440"/>
        <w:jc w:val="both"/>
      </w:pPr>
      <w:r>
        <w:t xml:space="preserve">(7)</w:t>
      </w:r>
      <w:r xml:space="preserve">
        <w:t> </w:t>
      </w:r>
      <w:r xml:space="preserve">
        <w:t> </w:t>
      </w:r>
      <w:r>
        <w:t xml:space="preserve">assess the funding and programming needed to provide services to the growing population of LGBTQ older adults;</w:t>
      </w:r>
    </w:p>
    <w:p w:rsidR="003F3435" w:rsidRDefault="0032493E">
      <w:pPr>
        <w:spacing w:line="480" w:lineRule="auto"/>
        <w:ind w:firstLine="1440"/>
        <w:jc w:val="both"/>
      </w:pPr>
      <w:r>
        <w:t xml:space="preserve">(8)</w:t>
      </w:r>
      <w:r xml:space="preserve">
        <w:t> </w:t>
      </w:r>
      <w:r xml:space="preserve">
        <w:t> </w:t>
      </w:r>
      <w:r>
        <w:t xml:space="preserve">examine whether certain policies and practices, or the absence of certain policies and practices, promote the premature admission of LGBTQ older adults to institutional care, and whether providing lower cost and culturally responsive home and community-based alternatives to institutional care provides cost savings to LGBTQ older adults;</w:t>
      </w:r>
    </w:p>
    <w:p w:rsidR="003F3435" w:rsidRDefault="0032493E">
      <w:pPr>
        <w:spacing w:line="480" w:lineRule="auto"/>
        <w:ind w:firstLine="1440"/>
        <w:jc w:val="both"/>
      </w:pPr>
      <w:r>
        <w:t xml:space="preserve">(9)</w:t>
      </w:r>
      <w:r xml:space="preserve">
        <w:t> </w:t>
      </w:r>
      <w:r xml:space="preserve">
        <w:t> </w:t>
      </w:r>
      <w:r>
        <w:t xml:space="preserve">examine outreach protocols to reduce apprehension among LGBTQ older adults and caregivers in utilizing mainstream long-term care providers; and</w:t>
      </w:r>
    </w:p>
    <w:p w:rsidR="003F3435" w:rsidRDefault="0032493E">
      <w:pPr>
        <w:spacing w:line="480" w:lineRule="auto"/>
        <w:ind w:firstLine="1440"/>
        <w:jc w:val="both"/>
      </w:pPr>
      <w:r>
        <w:t xml:space="preserve">(10)</w:t>
      </w:r>
      <w:r xml:space="preserve">
        <w:t> </w:t>
      </w:r>
      <w:r xml:space="preserve">
        <w:t> </w:t>
      </w:r>
      <w:r>
        <w:t xml:space="preserve">examine statewide strategies for the collection of sexual orientation and gender identity data and the impact of these strategies on the provision of services to LGBTQ older adults, and conduct a statewide survey designed to approximate the number of LGBTQ older adults in the state and collect demographic information, if resources allow.</w:t>
      </w:r>
    </w:p>
    <w:p w:rsidR="003F3435" w:rsidRDefault="0032493E">
      <w:pPr>
        <w:spacing w:line="480" w:lineRule="auto"/>
        <w:ind w:firstLine="720"/>
        <w:jc w:val="both"/>
      </w:pPr>
      <w:r>
        <w:t xml:space="preserve">(i)</w:t>
      </w:r>
      <w:r xml:space="preserve">
        <w:t> </w:t>
      </w:r>
      <w:r xml:space="preserve">
        <w:t> </w:t>
      </w:r>
      <w:r>
        <w:t xml:space="preserve">The advisory council shall provide for its organization and procedure, including selection of the presiding officer. A majority of the advisory council constitutes a quorum for the transaction of business.</w:t>
      </w:r>
    </w:p>
    <w:p w:rsidR="003F3435" w:rsidRDefault="0032493E">
      <w:pPr>
        <w:spacing w:line="480" w:lineRule="auto"/>
        <w:ind w:firstLine="720"/>
        <w:jc w:val="both"/>
      </w:pPr>
      <w:r>
        <w:t xml:space="preserve">(j)</w:t>
      </w:r>
      <w:r xml:space="preserve">
        <w:t> </w:t>
      </w:r>
      <w:r xml:space="preserve">
        <w:t> </w:t>
      </w:r>
      <w:r>
        <w:t xml:space="preserve">The advisory council shall meet at least one time per quarter.  The meetings may be conducted in person or by videoconference, as determined by the presiding officer of the advisory council.</w:t>
      </w:r>
    </w:p>
    <w:p w:rsidR="003F3435" w:rsidRDefault="0032493E">
      <w:pPr>
        <w:spacing w:line="480" w:lineRule="auto"/>
        <w:ind w:firstLine="720"/>
        <w:jc w:val="both"/>
      </w:pPr>
      <w:r>
        <w:t xml:space="preserve">(k)</w:t>
      </w:r>
      <w:r xml:space="preserve">
        <w:t> </w:t>
      </w:r>
      <w:r xml:space="preserve">
        <w:t> </w:t>
      </w:r>
      <w:r>
        <w:t xml:space="preserve">The advisory council shall submit reports to the legislature regarding recommendations for legislative or other action not later than September 1 of each even-numbered year. In making recommendations to the legislature, the reports must:</w:t>
      </w:r>
    </w:p>
    <w:p w:rsidR="003F3435" w:rsidRDefault="0032493E">
      <w:pPr>
        <w:spacing w:line="480" w:lineRule="auto"/>
        <w:ind w:firstLine="1440"/>
        <w:jc w:val="both"/>
      </w:pPr>
      <w:r>
        <w:t xml:space="preserve">(1)</w:t>
      </w:r>
      <w:r xml:space="preserve">
        <w:t> </w:t>
      </w:r>
      <w:r xml:space="preserve">
        <w:t> </w:t>
      </w:r>
      <w:r>
        <w:t xml:space="preserve">consider the best policies and practices in other states and jurisdictions; and</w:t>
      </w:r>
    </w:p>
    <w:p w:rsidR="003F3435" w:rsidRDefault="0032493E">
      <w:pPr>
        <w:spacing w:line="480" w:lineRule="auto"/>
        <w:ind w:firstLine="1440"/>
        <w:jc w:val="both"/>
      </w:pPr>
      <w:r>
        <w:t xml:space="preserve">(2)</w:t>
      </w:r>
      <w:r xml:space="preserve">
        <w:t> </w:t>
      </w:r>
      <w:r xml:space="preserve">
        <w:t> </w:t>
      </w:r>
      <w:r>
        <w:t xml:space="preserve">ensure equitable access, treatment, care and benefits, and overall quality of life for LGBTQ older adults.</w:t>
      </w:r>
    </w:p>
    <w:p w:rsidR="003F3435" w:rsidRDefault="0032493E">
      <w:pPr>
        <w:spacing w:line="480" w:lineRule="auto"/>
        <w:ind w:firstLine="720"/>
        <w:jc w:val="both"/>
      </w:pPr>
      <w:r>
        <w:t xml:space="preserve">(l)</w:t>
      </w:r>
      <w:r xml:space="preserve">
        <w:t> </w:t>
      </w:r>
      <w:r xml:space="preserve">
        <w:t> </w:t>
      </w:r>
      <w:r>
        <w:t xml:space="preserve">The commission shall post the reports required under Subsection (k) of this section on the commission's public Internet website.</w:t>
      </w:r>
    </w:p>
    <w:p w:rsidR="003F3435" w:rsidRDefault="0032493E">
      <w:pPr>
        <w:spacing w:line="480" w:lineRule="auto"/>
        <w:ind w:firstLine="720"/>
        <w:jc w:val="both"/>
      </w:pPr>
      <w:r>
        <w:t xml:space="preserve">(m)</w:t>
      </w:r>
      <w:r xml:space="preserve">
        <w:t> </w:t>
      </w:r>
      <w:r xml:space="preserve">
        <w:t> </w:t>
      </w:r>
      <w:r>
        <w:t xml:space="preserve">The commission and advisory council may collaborate with an institution of higher education in this state to compile the reports required under Subsection (k) of this section.</w:t>
      </w:r>
    </w:p>
    <w:p w:rsidR="003F3435" w:rsidRDefault="0032493E">
      <w:pPr>
        <w:spacing w:line="480" w:lineRule="auto"/>
        <w:ind w:firstLine="720"/>
        <w:jc w:val="both"/>
      </w:pPr>
      <w:r>
        <w:t xml:space="preserve">(n)</w:t>
      </w:r>
      <w:r xml:space="preserve">
        <w:t> </w:t>
      </w:r>
      <w:r xml:space="preserve">
        <w:t> </w:t>
      </w:r>
      <w:r>
        <w:t xml:space="preserve">The advisory council is abolished and this section expires December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2023, the governor and state agency officials shall make the appointments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