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88R14133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4441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requirements for municipalities and counties that impose a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been spent by the municipality and the amount of that unexpended revenue, if any, that is spent in the municipality's budget for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been spent by the county and the amount of that unexpended revenue, if any, that is spent in the county's budget for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