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88R17002 TYPED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Longoria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capture or use of a biometric identifier.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503.001, Business &amp; Commerce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(1) A state or local government, including a school, its contractor, subcontractor, or agents that captures a biometric identifier for the purpose of preventing safety or security concerns, theft, or other illegal activity may not sell the biometric identifier to a third-party.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This section shall not be construed to prohibit a State or local government agency, including a school, or its contractors, subcontractors, or agents from capturing biometric identifiers for the purpose of preventing, detecting, or responding to safety or security incidents, theft, or other illegal activity.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