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88R11769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Cunningham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allocation of certain federal money provided under the Cranston-Gonzalez National Affordable Housing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2306.111, Government Code, is amended by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money provided to this state under the Cranston-Gonzalez National Affordable Housing Act (42 U.S.C. Section 12701 et seq.) as a one-time lump sum for a specified use: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subject to the allocation requirements under this section or the allocation formula developed by the department under Section 2306.1115;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allocated for the benefit of any area of this state in the manner specified under federal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