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H.B.</w:t>
      </w:r>
      <w:r xml:space="preserve">
        <w:t> </w:t>
      </w:r>
      <w:r>
        <w:t xml:space="preserve">No.</w:t>
      </w:r>
      <w:r xml:space="preserve">
        <w:t> </w:t>
      </w:r>
      <w:r>
        <w:t xml:space="preserve">4445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water loss in water delivery systems for certain municipally owned water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552, Local Government Code, is amended by adding Section 552.025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552.025.</w:t>
      </w:r>
      <w:r>
        <w:rPr>
          <w:u w:val="single"/>
        </w:rPr>
        <w:t xml:space="preserve"> </w:t>
      </w:r>
      <w:r>
        <w:rPr>
          <w:u w:val="single"/>
        </w:rPr>
        <w:t xml:space="preserve"> </w:t>
      </w:r>
      <w:r>
        <w:rPr>
          <w:u w:val="single"/>
        </w:rPr>
        <w:t xml:space="preserve">ACCEPTABLE DELIVERY SYSTEM WATER LOSS FOR CERTAIN MUNICIPALLY OWNED UTILITIES.  </w:t>
      </w:r>
      <w:r>
        <w:rPr>
          <w:u w:val="single"/>
        </w:rPr>
        <w:t xml:space="preserve"> </w:t>
      </w:r>
      <w:r>
        <w:rPr>
          <w:u w:val="single"/>
        </w:rPr>
        <w:t xml:space="preserve">(a)  In this section, "municipally owned utility" and "utility" have the meanings assigned by Section 13.002,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municipally owned utility with more than 150,000 service connections;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municipally owned utility with a Texas Water Development Board Water Loss Audit indicating water loss equal to or more than 15 percent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within 180 days, enact Stage 2 water restrictions, as specified in the utility's drought contingency plan, for a maximum of two years until a new Texas Water Development Board Water Loss Audit indicates water loss of less than 15 percent;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two years, enact Stage 3 water restrictions, as specified in the utility's drought contingency plan, until a new Texas Water Development Board Water Loss Audit indicates water loss of less than 15 percent.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4445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